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2C" w:rsidRPr="00EB00C6" w:rsidRDefault="00656F6B" w:rsidP="00C56D2C">
      <w:pPr>
        <w:widowControl w:val="0"/>
        <w:autoSpaceDE w:val="0"/>
        <w:autoSpaceDN w:val="0"/>
        <w:adjustRightInd w:val="0"/>
        <w:ind w:right="-6"/>
        <w:jc w:val="right"/>
        <w:rPr>
          <w:rFonts w:ascii="Arial" w:eastAsia="HiraKakuProN-W3" w:hAnsi="Arial" w:cs="Arial"/>
          <w:b/>
          <w:spacing w:val="-4"/>
          <w:kern w:val="2"/>
          <w:sz w:val="20"/>
          <w:szCs w:val="20"/>
          <w:u w:val="single"/>
        </w:rPr>
      </w:pPr>
      <w:r>
        <w:rPr>
          <w:rFonts w:ascii="Arial" w:eastAsia="HiraKakuProN-W3" w:hAnsi="Arial" w:cs="Arial"/>
          <w:b/>
          <w:spacing w:val="-4"/>
          <w:kern w:val="2"/>
          <w:sz w:val="20"/>
          <w:szCs w:val="20"/>
          <w:u w:val="single"/>
        </w:rPr>
        <w:t>Allegato n. B</w:t>
      </w:r>
      <w:r w:rsidR="00C56D2C">
        <w:rPr>
          <w:rFonts w:ascii="Arial" w:eastAsia="HiraKakuProN-W3" w:hAnsi="Arial" w:cs="Arial"/>
          <w:b/>
          <w:spacing w:val="-4"/>
          <w:kern w:val="2"/>
          <w:sz w:val="20"/>
          <w:szCs w:val="20"/>
          <w:u w:val="single"/>
        </w:rPr>
        <w:t xml:space="preserve"> </w:t>
      </w:r>
      <w:r w:rsidR="00C56D2C" w:rsidRPr="00EB00C6">
        <w:rPr>
          <w:rFonts w:ascii="Arial" w:eastAsia="HiraKakuProN-W3" w:hAnsi="Arial" w:cs="Arial"/>
          <w:b/>
          <w:spacing w:val="-4"/>
          <w:kern w:val="2"/>
          <w:sz w:val="20"/>
          <w:szCs w:val="20"/>
          <w:u w:val="single"/>
        </w:rPr>
        <w:t xml:space="preserve"> alla Determinazione n. </w:t>
      </w:r>
      <w:r w:rsidR="00402418">
        <w:rPr>
          <w:rFonts w:ascii="Arial" w:eastAsia="HiraKakuProN-W3" w:hAnsi="Arial" w:cs="Arial"/>
          <w:b/>
          <w:spacing w:val="-4"/>
          <w:kern w:val="2"/>
          <w:sz w:val="20"/>
          <w:szCs w:val="20"/>
          <w:u w:val="single"/>
        </w:rPr>
        <w:t>18</w:t>
      </w:r>
      <w:r w:rsidR="00C56D2C" w:rsidRPr="00EB00C6">
        <w:rPr>
          <w:rFonts w:ascii="Arial" w:eastAsia="HiraKakuProN-W3" w:hAnsi="Arial" w:cs="Arial"/>
          <w:b/>
          <w:spacing w:val="-4"/>
          <w:kern w:val="2"/>
          <w:sz w:val="20"/>
          <w:szCs w:val="20"/>
          <w:u w:val="single"/>
        </w:rPr>
        <w:t>/201</w:t>
      </w:r>
      <w:r w:rsidR="00402418">
        <w:rPr>
          <w:rFonts w:ascii="Arial" w:eastAsia="HiraKakuProN-W3" w:hAnsi="Arial" w:cs="Arial"/>
          <w:b/>
          <w:spacing w:val="-4"/>
          <w:kern w:val="2"/>
          <w:sz w:val="20"/>
          <w:szCs w:val="20"/>
          <w:u w:val="single"/>
        </w:rPr>
        <w:t>9</w:t>
      </w:r>
    </w:p>
    <w:p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rsidR="00C56D2C" w:rsidRDefault="00C56D2C" w:rsidP="003D78F6">
      <w:pPr>
        <w:widowControl w:val="0"/>
        <w:autoSpaceDE w:val="0"/>
        <w:autoSpaceDN w:val="0"/>
        <w:adjustRightInd w:val="0"/>
        <w:spacing w:after="0" w:line="288" w:lineRule="auto"/>
        <w:ind w:right="-6"/>
        <w:jc w:val="center"/>
        <w:rPr>
          <w:rFonts w:ascii="Times New Roman" w:eastAsia="HiraKakuProN-W3" w:hAnsi="Times New Roman"/>
          <w:b/>
          <w:i/>
          <w:iCs/>
          <w:kern w:val="2"/>
          <w:sz w:val="20"/>
          <w:szCs w:val="20"/>
        </w:rPr>
      </w:pPr>
    </w:p>
    <w:p w:rsidR="003D78F6" w:rsidRPr="003D78F6" w:rsidRDefault="003D78F6" w:rsidP="00472F3C">
      <w:pPr>
        <w:widowControl w:val="0"/>
        <w:autoSpaceDE w:val="0"/>
        <w:autoSpaceDN w:val="0"/>
        <w:adjustRightInd w:val="0"/>
        <w:spacing w:after="0" w:line="288" w:lineRule="auto"/>
        <w:ind w:right="-6"/>
        <w:rPr>
          <w:rFonts w:ascii="Times New Roman" w:eastAsia="HiraKakuProN-W3" w:hAnsi="Times New Roman"/>
          <w:b/>
          <w:i/>
          <w:iCs/>
          <w:kern w:val="2"/>
          <w:sz w:val="20"/>
          <w:szCs w:val="20"/>
        </w:rPr>
      </w:pPr>
      <w:r>
        <w:rPr>
          <w:rFonts w:ascii="Times New Roman" w:eastAsia="HiraKakuProN-W3" w:hAnsi="Times New Roman"/>
          <w:b/>
          <w:i/>
          <w:iCs/>
          <w:kern w:val="2"/>
          <w:sz w:val="20"/>
          <w:szCs w:val="20"/>
        </w:rPr>
        <w:t>ISTRUZIONI E FAC SIMILE DGUE</w:t>
      </w:r>
      <w:r w:rsidR="00D45DCF">
        <w:rPr>
          <w:rFonts w:ascii="Times New Roman" w:eastAsia="HiraKakuProN-W3" w:hAnsi="Times New Roman"/>
          <w:b/>
          <w:i/>
          <w:iCs/>
          <w:kern w:val="2"/>
          <w:sz w:val="20"/>
          <w:szCs w:val="20"/>
        </w:rPr>
        <w:t xml:space="preserve">e </w:t>
      </w:r>
      <w:r w:rsidR="00472F3C">
        <w:rPr>
          <w:rFonts w:ascii="Times New Roman" w:eastAsia="HiraKakuProN-W3" w:hAnsi="Times New Roman"/>
          <w:b/>
          <w:i/>
          <w:iCs/>
          <w:kern w:val="2"/>
          <w:sz w:val="20"/>
          <w:szCs w:val="20"/>
        </w:rPr>
        <w:t xml:space="preserve"> </w:t>
      </w:r>
    </w:p>
    <w:p w:rsidR="003D78F6" w:rsidRDefault="003D78F6" w:rsidP="003D78F6">
      <w:pPr>
        <w:pStyle w:val="Default"/>
        <w:rPr>
          <w:rFonts w:ascii="Times New Roman" w:hAnsi="Times New Roman" w:cs="Times New Roman"/>
        </w:rPr>
      </w:pPr>
    </w:p>
    <w:p w:rsidR="004C1433" w:rsidRDefault="003D78F6" w:rsidP="003D78F6">
      <w:pPr>
        <w:pStyle w:val="Pa112"/>
        <w:jc w:val="both"/>
        <w:rPr>
          <w:rStyle w:val="A21"/>
          <w:rFonts w:ascii="Times New Roman" w:hAnsi="Times New Roman" w:cs="Times New Roman"/>
          <w:i w:val="0"/>
          <w:iCs/>
          <w:sz w:val="24"/>
        </w:rPr>
      </w:pPr>
      <w:r w:rsidRPr="00F403D1">
        <w:rPr>
          <w:rStyle w:val="A21"/>
          <w:rFonts w:ascii="Times New Roman" w:hAnsi="Times New Roman" w:cs="Times New Roman"/>
          <w:i w:val="0"/>
          <w:iCs/>
          <w:sz w:val="24"/>
        </w:rPr>
        <w:t>Si fa presente che, come stabilito dall’art. 85 del Codice dei contratti, dal 18 aprile 2018 il DGUE è fornito esclusivamente in forma elettronica e pertanto per creare il documento, l’operatore economico dovrà collegarsi al sito inter</w:t>
      </w:r>
      <w:r w:rsidRPr="00F403D1">
        <w:rPr>
          <w:rStyle w:val="A21"/>
          <w:rFonts w:ascii="Times New Roman" w:hAnsi="Times New Roman" w:cs="Times New Roman"/>
          <w:i w:val="0"/>
          <w:iCs/>
          <w:sz w:val="24"/>
        </w:rPr>
        <w:softHyphen/>
        <w:t xml:space="preserve">net della Commissione europea </w:t>
      </w:r>
    </w:p>
    <w:p w:rsidR="00D40F72" w:rsidRDefault="00D40F72" w:rsidP="004C1433"/>
    <w:p w:rsidR="004C1433" w:rsidRPr="004C1433" w:rsidRDefault="004C1433" w:rsidP="004C1433">
      <w:pPr>
        <w:rPr>
          <w:rStyle w:val="A21"/>
          <w:i w:val="0"/>
          <w:color w:val="auto"/>
          <w:sz w:val="22"/>
        </w:rPr>
      </w:pPr>
      <w:r w:rsidRPr="00D40F72">
        <w:t>https://espd.eop.bg/espd-web/filter?lang=it</w:t>
      </w:r>
    </w:p>
    <w:p w:rsidR="003D78F6" w:rsidRPr="00F403D1" w:rsidRDefault="003D78F6" w:rsidP="003D78F6">
      <w:pPr>
        <w:pStyle w:val="Pa112"/>
        <w:jc w:val="both"/>
        <w:rPr>
          <w:rFonts w:ascii="Times New Roman" w:hAnsi="Times New Roman" w:cs="Times New Roman"/>
          <w:color w:val="221E1F"/>
        </w:rPr>
      </w:pPr>
      <w:r w:rsidRPr="00F403D1">
        <w:rPr>
          <w:rStyle w:val="A21"/>
          <w:rFonts w:ascii="Times New Roman" w:hAnsi="Times New Roman" w:cs="Times New Roman"/>
          <w:i w:val="0"/>
          <w:iCs/>
          <w:sz w:val="24"/>
        </w:rPr>
        <w:t xml:space="preserve">che mette a disposizione un servizio per la compilazione elettronica del DGUE, e seguire le istruzioni presenti. </w:t>
      </w:r>
    </w:p>
    <w:p w:rsidR="003D78F6" w:rsidRPr="00F403D1" w:rsidRDefault="003D78F6" w:rsidP="003D78F6">
      <w:pPr>
        <w:pStyle w:val="Pa51"/>
        <w:jc w:val="both"/>
        <w:rPr>
          <w:rFonts w:ascii="Times New Roman" w:hAnsi="Times New Roman" w:cs="Times New Roman"/>
          <w:color w:val="221E1F"/>
        </w:rPr>
      </w:pPr>
      <w:r w:rsidRPr="00F403D1">
        <w:rPr>
          <w:rStyle w:val="A21"/>
          <w:rFonts w:ascii="Times New Roman" w:hAnsi="Times New Roman" w:cs="Times New Roman"/>
          <w:i w:val="0"/>
          <w:iCs/>
          <w:sz w:val="24"/>
        </w:rPr>
        <w:t xml:space="preserve">Dopo avere selezionato la voce “Sono un operatore economico”, il concorrente dovrà effettuare i seguenti passaggi: </w:t>
      </w:r>
    </w:p>
    <w:p w:rsidR="003D78F6" w:rsidRPr="00F403D1" w:rsidRDefault="003D78F6" w:rsidP="003D78F6">
      <w:pPr>
        <w:pStyle w:val="Pa282"/>
        <w:ind w:left="340" w:hanging="340"/>
        <w:jc w:val="both"/>
        <w:rPr>
          <w:rFonts w:ascii="Times New Roman" w:hAnsi="Times New Roman" w:cs="Times New Roman"/>
          <w:color w:val="221E1F"/>
        </w:rPr>
      </w:pPr>
      <w:r w:rsidRPr="00F403D1">
        <w:rPr>
          <w:rFonts w:ascii="Times New Roman" w:hAnsi="Times New Roman" w:cs="Times New Roman"/>
          <w:iCs/>
          <w:color w:val="221E1F"/>
        </w:rPr>
        <w:t xml:space="preserve">– alla domanda “Che operazione si vuole eseguire?” selezionare “Importare un DGUE”; </w:t>
      </w:r>
    </w:p>
    <w:p w:rsidR="003D78F6"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dovrà quindi essere caricato il file “</w:t>
      </w:r>
      <w:r w:rsidR="004C1433">
        <w:rPr>
          <w:rFonts w:ascii="Helvetica" w:hAnsi="Helvetica" w:cs="Helvetica"/>
          <w:color w:val="04498A"/>
          <w:sz w:val="23"/>
          <w:szCs w:val="23"/>
          <w:shd w:val="clear" w:color="auto" w:fill="FFFFFF"/>
        </w:rPr>
        <w:t>ESPD Request (richiesta di DGUE)</w:t>
      </w:r>
      <w:r w:rsidRPr="00F403D1">
        <w:rPr>
          <w:rFonts w:ascii="Times New Roman" w:hAnsi="Times New Roman" w:cs="Times New Roman"/>
          <w:iCs/>
          <w:color w:val="221E1F"/>
        </w:rPr>
        <w:t xml:space="preserve">” presente tra i documenti </w:t>
      </w:r>
      <w:r w:rsidR="004C1433">
        <w:rPr>
          <w:rFonts w:ascii="Times New Roman" w:hAnsi="Times New Roman" w:cs="Times New Roman"/>
          <w:iCs/>
          <w:color w:val="221E1F"/>
        </w:rPr>
        <w:t>di gara</w:t>
      </w:r>
      <w:r w:rsidRPr="00F403D1">
        <w:rPr>
          <w:rFonts w:ascii="Times New Roman" w:hAnsi="Times New Roman" w:cs="Times New Roman"/>
          <w:iCs/>
          <w:color w:val="221E1F"/>
        </w:rPr>
        <w:t xml:space="preserve"> </w:t>
      </w:r>
      <w:r w:rsidR="00B95DF1">
        <w:rPr>
          <w:rFonts w:ascii="Times New Roman" w:hAnsi="Times New Roman" w:cs="Times New Roman"/>
          <w:iCs/>
          <w:color w:val="221E1F"/>
        </w:rPr>
        <w:t xml:space="preserve">messi a disposizione dal Comune e </w:t>
      </w:r>
      <w:r w:rsidRPr="00F403D1">
        <w:rPr>
          <w:rFonts w:ascii="Times New Roman" w:hAnsi="Times New Roman" w:cs="Times New Roman"/>
          <w:iCs/>
          <w:color w:val="221E1F"/>
        </w:rPr>
        <w:t xml:space="preserve">che il concorrente </w:t>
      </w:r>
      <w:r w:rsidR="00B95DF1">
        <w:rPr>
          <w:rFonts w:ascii="Times New Roman" w:hAnsi="Times New Roman" w:cs="Times New Roman"/>
          <w:iCs/>
          <w:color w:val="221E1F"/>
        </w:rPr>
        <w:t>avrà</w:t>
      </w:r>
      <w:r w:rsidRPr="00F403D1">
        <w:rPr>
          <w:rFonts w:ascii="Times New Roman" w:hAnsi="Times New Roman" w:cs="Times New Roman"/>
          <w:iCs/>
          <w:color w:val="221E1F"/>
        </w:rPr>
        <w:t xml:space="preserve"> salva</w:t>
      </w:r>
      <w:r w:rsidR="00B95DF1">
        <w:rPr>
          <w:rFonts w:ascii="Times New Roman" w:hAnsi="Times New Roman" w:cs="Times New Roman"/>
          <w:iCs/>
          <w:color w:val="221E1F"/>
        </w:rPr>
        <w:t>to</w:t>
      </w:r>
      <w:r w:rsidRPr="00F403D1">
        <w:rPr>
          <w:rFonts w:ascii="Times New Roman" w:hAnsi="Times New Roman" w:cs="Times New Roman"/>
          <w:iCs/>
          <w:color w:val="221E1F"/>
        </w:rPr>
        <w:t xml:space="preserve"> sul proprio computer; </w:t>
      </w:r>
    </w:p>
    <w:p w:rsidR="00B95DF1" w:rsidRPr="00B95DF1" w:rsidRDefault="00B95DF1" w:rsidP="00B95DF1">
      <w:pPr>
        <w:pStyle w:val="Default"/>
      </w:pPr>
      <w:r>
        <w:t>_ compilare il Dguee;</w:t>
      </w:r>
    </w:p>
    <w:p w:rsidR="003D78F6" w:rsidRPr="00F403D1" w:rsidRDefault="003D78F6" w:rsidP="003D78F6">
      <w:pPr>
        <w:pStyle w:val="Pa282"/>
        <w:ind w:left="340" w:hanging="340"/>
        <w:jc w:val="both"/>
        <w:rPr>
          <w:rFonts w:ascii="Times New Roman" w:hAnsi="Times New Roman" w:cs="Times New Roman"/>
          <w:iCs/>
          <w:color w:val="221E1F"/>
        </w:rPr>
      </w:pPr>
      <w:r w:rsidRPr="00F403D1">
        <w:rPr>
          <w:rFonts w:ascii="Times New Roman" w:hAnsi="Times New Roman" w:cs="Times New Roman"/>
          <w:iCs/>
          <w:color w:val="221E1F"/>
        </w:rPr>
        <w:t>– terminata la compilazione il modello dovrà essere firmato digitalmente</w:t>
      </w:r>
      <w:r w:rsidR="004C1433">
        <w:rPr>
          <w:rFonts w:ascii="Times New Roman" w:hAnsi="Times New Roman" w:cs="Times New Roman"/>
          <w:iCs/>
          <w:color w:val="221E1F"/>
        </w:rPr>
        <w:t>,</w:t>
      </w:r>
      <w:r w:rsidRPr="00F403D1">
        <w:rPr>
          <w:rFonts w:ascii="Times New Roman" w:hAnsi="Times New Roman" w:cs="Times New Roman"/>
          <w:iCs/>
          <w:color w:val="221E1F"/>
        </w:rPr>
        <w:t xml:space="preserve"> caricato su</w:t>
      </w:r>
      <w:r w:rsidR="004C1433">
        <w:rPr>
          <w:rFonts w:ascii="Times New Roman" w:hAnsi="Times New Roman" w:cs="Times New Roman"/>
          <w:iCs/>
          <w:color w:val="221E1F"/>
        </w:rPr>
        <w:t xml:space="preserve">l </w:t>
      </w:r>
      <w:r w:rsidR="00B95DF1">
        <w:rPr>
          <w:rFonts w:ascii="Times New Roman" w:hAnsi="Times New Roman" w:cs="Times New Roman"/>
          <w:iCs/>
          <w:color w:val="221E1F"/>
        </w:rPr>
        <w:t>M</w:t>
      </w:r>
      <w:r w:rsidR="004C1433">
        <w:rPr>
          <w:rFonts w:ascii="Times New Roman" w:hAnsi="Times New Roman" w:cs="Times New Roman"/>
          <w:iCs/>
          <w:color w:val="221E1F"/>
        </w:rPr>
        <w:t>epa e</w:t>
      </w:r>
      <w:r w:rsidRPr="00F403D1">
        <w:rPr>
          <w:rFonts w:ascii="Times New Roman" w:hAnsi="Times New Roman" w:cs="Times New Roman"/>
          <w:iCs/>
          <w:color w:val="221E1F"/>
        </w:rPr>
        <w:t xml:space="preserve"> inviato alla stazione appaltante tra la documentazione amministrativa di gara. </w:t>
      </w:r>
    </w:p>
    <w:p w:rsidR="003D78F6" w:rsidRPr="00F403D1" w:rsidRDefault="003D78F6" w:rsidP="003D78F6">
      <w:pPr>
        <w:pStyle w:val="Default"/>
        <w:rPr>
          <w:rFonts w:ascii="Times New Roman" w:hAnsi="Times New Roman" w:cs="Times New Roman"/>
        </w:rPr>
      </w:pPr>
    </w:p>
    <w:p w:rsidR="003D78F6" w:rsidRPr="00F403D1" w:rsidRDefault="003D78F6" w:rsidP="003D78F6">
      <w:pPr>
        <w:pStyle w:val="Pa51"/>
        <w:spacing w:after="160"/>
        <w:jc w:val="both"/>
        <w:rPr>
          <w:rFonts w:ascii="Times New Roman" w:hAnsi="Times New Roman" w:cs="Times New Roman"/>
          <w:color w:val="221E1F"/>
        </w:rPr>
      </w:pPr>
      <w:r w:rsidRPr="00F403D1">
        <w:rPr>
          <w:rStyle w:val="A21"/>
          <w:rFonts w:ascii="Times New Roman" w:hAnsi="Times New Roman" w:cs="Times New Roman"/>
          <w:i w:val="0"/>
          <w:iCs/>
          <w:sz w:val="24"/>
        </w:rPr>
        <w:t xml:space="preserve">Si fa, inoltre, presente che, in conformità al comunicato apparso sul sito del Ministero delle infrastrutture e dei trasporti, </w:t>
      </w:r>
      <w:r w:rsidR="004C1433">
        <w:rPr>
          <w:rStyle w:val="A21"/>
          <w:rFonts w:ascii="Times New Roman" w:hAnsi="Times New Roman" w:cs="Times New Roman"/>
          <w:i w:val="0"/>
          <w:iCs/>
          <w:sz w:val="24"/>
        </w:rPr>
        <w:t>d</w:t>
      </w:r>
      <w:r w:rsidRPr="00F403D1">
        <w:rPr>
          <w:rStyle w:val="A21"/>
          <w:rFonts w:ascii="Times New Roman" w:hAnsi="Times New Roman" w:cs="Times New Roman"/>
          <w:i w:val="0"/>
          <w:iCs/>
          <w:sz w:val="24"/>
        </w:rPr>
        <w:t>al 18 ottobre</w:t>
      </w:r>
      <w:r w:rsidR="004C1433">
        <w:rPr>
          <w:rStyle w:val="A21"/>
          <w:rFonts w:ascii="Times New Roman" w:hAnsi="Times New Roman" w:cs="Times New Roman"/>
          <w:i w:val="0"/>
          <w:iCs/>
          <w:sz w:val="24"/>
        </w:rPr>
        <w:t xml:space="preserve"> 2018</w:t>
      </w:r>
      <w:r w:rsidRPr="00F403D1">
        <w:rPr>
          <w:rStyle w:val="A21"/>
          <w:rFonts w:ascii="Times New Roman" w:hAnsi="Times New Roman" w:cs="Times New Roman"/>
          <w:i w:val="0"/>
          <w:iCs/>
          <w:sz w:val="24"/>
        </w:rPr>
        <w:t>, il DGUE dovrà essere predisposto esclusivamente in conformità alle regole tecniche che saranno emanate da AGID ai sensi dell’art. 58 comma 10 del Codice dei contratti pubblici. Per tutte le procedure di gara bandite a partire dal 18 ottobre</w:t>
      </w:r>
      <w:r w:rsidR="004C1433">
        <w:rPr>
          <w:rStyle w:val="A21"/>
          <w:rFonts w:ascii="Times New Roman" w:hAnsi="Times New Roman" w:cs="Times New Roman"/>
          <w:i w:val="0"/>
          <w:iCs/>
          <w:sz w:val="24"/>
        </w:rPr>
        <w:t xml:space="preserve"> 2018</w:t>
      </w:r>
      <w:r w:rsidRPr="00F403D1">
        <w:rPr>
          <w:rStyle w:val="A21"/>
          <w:rFonts w:ascii="Times New Roman" w:hAnsi="Times New Roman" w:cs="Times New Roman"/>
          <w:i w:val="0"/>
          <w:iCs/>
          <w:sz w:val="24"/>
        </w:rPr>
        <w:t xml:space="preserve">, eventuali DGUE di formati diversi da quello definito dalle citate regole tecniche saranno considerati quale documentazione illustrativa a supporto. </w:t>
      </w:r>
    </w:p>
    <w:p w:rsidR="003D78F6" w:rsidRPr="00F403D1" w:rsidRDefault="003D78F6" w:rsidP="003D78F6">
      <w:pPr>
        <w:widowControl w:val="0"/>
        <w:autoSpaceDE w:val="0"/>
        <w:autoSpaceDN w:val="0"/>
        <w:adjustRightInd w:val="0"/>
        <w:spacing w:after="0" w:line="288" w:lineRule="auto"/>
        <w:ind w:right="-6"/>
        <w:jc w:val="both"/>
        <w:rPr>
          <w:rStyle w:val="A21"/>
          <w:i w:val="0"/>
          <w:sz w:val="24"/>
          <w:szCs w:val="24"/>
          <w:lang w:eastAsia="en-US"/>
        </w:rPr>
      </w:pPr>
      <w:r w:rsidRPr="00F403D1">
        <w:rPr>
          <w:rStyle w:val="A21"/>
          <w:rFonts w:ascii="Times New Roman" w:hAnsi="Times New Roman"/>
          <w:i w:val="0"/>
          <w:iCs/>
          <w:sz w:val="24"/>
          <w:szCs w:val="24"/>
          <w:lang w:eastAsia="en-US"/>
        </w:rPr>
        <w:t>Infine, fino all’aggiornamento del DGUE al decreto correttivo di cui al d.lgs. 19 aprile 2017, n. 56, ciascun concorrente che compila il DGUE deve allegare una dichiarazione integrativa in ordine al possesso dei requisiti di all’art. 80, comma 1, lett. b-bis) e comma 5, lett. f-bis) e f-ter) del Codice.</w:t>
      </w:r>
    </w:p>
    <w:p w:rsidR="003D78F6" w:rsidRPr="003D78F6" w:rsidRDefault="003D78F6" w:rsidP="003D78F6">
      <w:pPr>
        <w:widowControl w:val="0"/>
        <w:autoSpaceDE w:val="0"/>
        <w:autoSpaceDN w:val="0"/>
        <w:adjustRightInd w:val="0"/>
        <w:spacing w:after="0" w:line="288" w:lineRule="auto"/>
        <w:ind w:right="-6"/>
        <w:jc w:val="both"/>
        <w:rPr>
          <w:rFonts w:eastAsia="HiraKakuProN-W3"/>
          <w:i/>
          <w:iCs/>
          <w:kern w:val="2"/>
          <w:sz w:val="24"/>
          <w:szCs w:val="24"/>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02418" w:rsidRPr="00402418" w:rsidRDefault="00D96E8C"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36"/>
          <w:szCs w:val="36"/>
        </w:rPr>
      </w:pPr>
      <w:r w:rsidRPr="00402418">
        <w:rPr>
          <w:rFonts w:ascii="Times New Roman" w:eastAsia="HiraKakuProN-W3" w:hAnsi="Times New Roman"/>
          <w:b/>
          <w:bCs/>
          <w:kern w:val="2"/>
          <w:sz w:val="36"/>
          <w:szCs w:val="36"/>
        </w:rPr>
        <w:t>S</w:t>
      </w:r>
      <w:r w:rsidR="003D78F6" w:rsidRPr="00402418">
        <w:rPr>
          <w:rFonts w:ascii="Times New Roman" w:eastAsia="HiraKakuProN-W3" w:hAnsi="Times New Roman"/>
          <w:b/>
          <w:bCs/>
          <w:kern w:val="2"/>
          <w:sz w:val="36"/>
          <w:szCs w:val="36"/>
        </w:rPr>
        <w:t>egue modello cartaceo a mero scopo informativo:</w:t>
      </w:r>
    </w:p>
    <w:p w:rsidR="00402418" w:rsidRDefault="00402418"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highlight w:val="yellow"/>
        </w:rPr>
      </w:pPr>
      <w:r w:rsidRPr="00402418">
        <w:rPr>
          <w:rFonts w:ascii="Times New Roman" w:eastAsia="HiraKakuProN-W3" w:hAnsi="Times New Roman"/>
          <w:b/>
          <w:bCs/>
          <w:kern w:val="2"/>
          <w:sz w:val="40"/>
          <w:szCs w:val="40"/>
        </w:rPr>
        <w:t xml:space="preserve"> </w:t>
      </w:r>
      <w:r w:rsidRPr="00402418">
        <w:rPr>
          <w:rFonts w:ascii="Times New Roman" w:eastAsia="HiraKakuProN-W3" w:hAnsi="Times New Roman"/>
          <w:b/>
          <w:bCs/>
          <w:kern w:val="2"/>
          <w:sz w:val="40"/>
          <w:szCs w:val="40"/>
          <w:highlight w:val="yellow"/>
        </w:rPr>
        <w:t>il DGUE va compilato in formato elettronico</w:t>
      </w:r>
      <w:r w:rsidR="00B95DF1">
        <w:rPr>
          <w:rFonts w:ascii="Times New Roman" w:eastAsia="HiraKakuProN-W3" w:hAnsi="Times New Roman"/>
          <w:b/>
          <w:bCs/>
          <w:kern w:val="2"/>
          <w:sz w:val="40"/>
          <w:szCs w:val="40"/>
          <w:highlight w:val="yellow"/>
        </w:rPr>
        <w:t xml:space="preserve"> come sopra indicato</w:t>
      </w: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rPr>
      </w:pPr>
      <w:r w:rsidRPr="00402418">
        <w:rPr>
          <w:rFonts w:ascii="Times New Roman" w:eastAsia="HiraKakuProN-W3" w:hAnsi="Times New Roman"/>
          <w:b/>
          <w:bCs/>
          <w:kern w:val="2"/>
          <w:sz w:val="40"/>
          <w:szCs w:val="40"/>
          <w:highlight w:val="yellow"/>
        </w:rPr>
        <w:t>La parte I è compilata dal Comune di Gioia dei Marsi</w:t>
      </w:r>
    </w:p>
    <w:p w:rsidR="003D78F6" w:rsidRPr="00402418"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40"/>
          <w:szCs w:val="40"/>
        </w:rPr>
      </w:pPr>
    </w:p>
    <w:p w:rsidR="003D78F6" w:rsidRDefault="003D78F6" w:rsidP="00402418">
      <w:pPr>
        <w:widowControl w:val="0"/>
        <w:autoSpaceDE w:val="0"/>
        <w:autoSpaceDN w:val="0"/>
        <w:adjustRightInd w:val="0"/>
        <w:spacing w:after="0" w:line="256" w:lineRule="atLeast"/>
        <w:ind w:right="-6"/>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4C1433" w:rsidRDefault="004C1433"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MODELLO DI FORMULARIO</w:t>
      </w: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IL DOCUMENTO DI GARA UNICO EUROPEO</w:t>
      </w:r>
    </w:p>
    <w:p w:rsidR="003D78F6" w:rsidRDefault="003D78F6" w:rsidP="003D78F6">
      <w:pPr>
        <w:widowControl w:val="0"/>
        <w:autoSpaceDE w:val="0"/>
        <w:autoSpaceDN w:val="0"/>
        <w:adjustRightInd w:val="0"/>
        <w:spacing w:after="0" w:line="256" w:lineRule="atLeast"/>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Parte I: Informazioni sulla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e sull’amministrazione aggiudicatrice o ente aggiudicatore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jc w:val="center"/>
        <w:tblLayout w:type="fixed"/>
        <w:tblLook w:val="04A0"/>
      </w:tblPr>
      <w:tblGrid>
        <w:gridCol w:w="7350"/>
      </w:tblGrid>
      <w:tr w:rsidR="003D78F6" w:rsidTr="003D78F6">
        <w:trPr>
          <w:jc w:val="center"/>
        </w:trPr>
        <w:tc>
          <w:tcPr>
            <w:tcW w:w="735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w:t>
            </w:r>
            <w:r>
              <w:rPr>
                <w:rFonts w:ascii="Times New Roman" w:eastAsia="HiraKakuProN-W3" w:hAnsi="Times New Roman"/>
                <w:b/>
                <w:bCs/>
                <w:kern w:val="2"/>
                <w:sz w:val="20"/>
                <w:szCs w:val="20"/>
                <w:vertAlign w:val="superscript"/>
              </w:rPr>
              <w:t>1</w:t>
            </w:r>
            <w:r>
              <w:rPr>
                <w:rFonts w:ascii="Times New Roman" w:eastAsia="HiraKakuProN-W3" w:hAnsi="Times New Roman"/>
                <w:b/>
                <w:bCs/>
                <w:kern w:val="2"/>
                <w:sz w:val="20"/>
                <w:szCs w:val="20"/>
              </w:rPr>
              <w:t>). Riferimento della pubblicazione del pertinente avviso o bando (</w:t>
            </w:r>
            <w:r>
              <w:rPr>
                <w:rFonts w:ascii="Times New Roman" w:eastAsia="HiraKakuProN-W3" w:hAnsi="Times New Roman"/>
                <w:b/>
                <w:bCs/>
                <w:kern w:val="2"/>
                <w:sz w:val="20"/>
                <w:szCs w:val="20"/>
                <w:vertAlign w:val="superscript"/>
              </w:rPr>
              <w:t>2</w:t>
            </w:r>
            <w:r>
              <w:rPr>
                <w:rFonts w:ascii="Times New Roman" w:eastAsia="HiraKakuProN-W3" w:hAnsi="Times New Roman"/>
                <w:b/>
                <w:bCs/>
                <w:kern w:val="2"/>
                <w:sz w:val="20"/>
                <w:szCs w:val="20"/>
              </w:rPr>
              <w:t>) nella Gazzetta Ufficiale dell’Unione europea: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GUUE S numero [], data [], pag.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Numero dell’avviso nella GU S: [ ][ ][ ][ ]/S [ ][ ][ ]–[ ][ ][ ][ ][ ][ ][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b/>
                <w:bCs/>
                <w:kern w:val="2"/>
                <w:sz w:val="20"/>
                <w:szCs w:val="20"/>
              </w:rPr>
              <w:t>Se non è pubblicato un avviso di indizione di gara nella GU UE, l’amministrazione aggiudicatrice o l’ente aggiudicatore deve compilare le informazioni in modo da permettere l’individuazione univoca della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Informazioni sulla procedura di 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jc w:val="center"/>
        <w:tblLayout w:type="fixed"/>
        <w:tblLook w:val="04A0"/>
      </w:tblPr>
      <w:tblGrid>
        <w:gridCol w:w="7350"/>
      </w:tblGrid>
      <w:tr w:rsidR="003D78F6" w:rsidTr="003D78F6">
        <w:trPr>
          <w:jc w:val="center"/>
        </w:trPr>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tblPr>
      <w:tblGrid>
        <w:gridCol w:w="6062"/>
        <w:gridCol w:w="3792"/>
      </w:tblGrid>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Identità del committente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3</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fiscale</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Di quale appalto si tratta?</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Titolo o breve descrizione dell’appalto (</w:t>
            </w:r>
            <w:r>
              <w:rPr>
                <w:rFonts w:ascii="Times New Roman" w:eastAsia="HiraKakuProN-W3" w:hAnsi="Times New Roman"/>
                <w:kern w:val="2"/>
                <w:sz w:val="18"/>
                <w:szCs w:val="18"/>
                <w:vertAlign w:val="superscript"/>
              </w:rPr>
              <w:t>4</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Numero di riferimento attribuito al fascicolo dall’amministrazione aggiudicatrice o ente aggiudicatore (ove esistente) (</w:t>
            </w:r>
            <w:r>
              <w:rPr>
                <w:rFonts w:ascii="Times New Roman" w:eastAsia="HiraKakuProN-W3" w:hAnsi="Times New Roman"/>
                <w:kern w:val="2"/>
                <w:sz w:val="18"/>
                <w:szCs w:val="18"/>
                <w:vertAlign w:val="superscript"/>
              </w:rPr>
              <w:t>5</w:t>
            </w:r>
            <w:r>
              <w:rPr>
                <w:rFonts w:ascii="Times New Roman" w:eastAsia="HiraKakuProN-W3" w:hAnsi="Times New Roman"/>
                <w:kern w:val="2"/>
                <w:sz w:val="18"/>
                <w:szCs w:val="18"/>
              </w:rPr>
              <w:t>):</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C.I.G.</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C.U.P. (ove previsto)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Codice progetto (ove l’appalto sia finanziato o cofinanziato con fondi europei)</w:t>
            </w:r>
          </w:p>
        </w:tc>
        <w:tc>
          <w:tcPr>
            <w:tcW w:w="3792"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6062"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Tutte le altre informazioni in tutte le sezioni del DGUE devono essere inserite dall’operatore economico.</w:t>
            </w:r>
          </w:p>
        </w:tc>
        <w:tc>
          <w:tcPr>
            <w:tcW w:w="3792"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tabs>
          <w:tab w:val="left" w:pos="4644"/>
        </w:tabs>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P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r>
        <w:rPr>
          <w:rFonts w:ascii="Times New Roman" w:eastAsia="HiraKakuProN-W3" w:hAnsi="Times New Roman"/>
          <w:b/>
          <w:bCs/>
          <w:kern w:val="2"/>
          <w:sz w:val="20"/>
          <w:szCs w:val="20"/>
        </w:rPr>
        <w:t>Parte II: Informazioni sull’operatore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A: Informazioni sull’operatore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ook w:val="04A0"/>
      </w:tblPr>
      <w:tblGrid>
        <w:gridCol w:w="5563"/>
        <w:gridCol w:w="4291"/>
      </w:tblGrid>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Dati identificativi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left="850" w:right="-6" w:hanging="850"/>
              <w:jc w:val="center"/>
              <w:rPr>
                <w:rFonts w:ascii="Times New Roman" w:eastAsia="HiraKakuProN-W3" w:hAnsi="Times New Roman"/>
                <w:kern w:val="2"/>
                <w:sz w:val="24"/>
                <w:szCs w:val="24"/>
              </w:rPr>
            </w:pPr>
            <w:r>
              <w:rPr>
                <w:rFonts w:ascii="Times New Roman" w:eastAsia="HiraKakuProN-W3" w:hAnsi="Times New Roman"/>
                <w:kern w:val="2"/>
                <w:sz w:val="18"/>
                <w:szCs w:val="18"/>
              </w:rPr>
              <w:t>Nome: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Partita IVA, se applicabile:</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non è applicabile un numero di partita IVA indicare un altro numero di identificazione nazionale, se richiesto e applicabile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Persone di contatto (</w:t>
            </w:r>
            <w:r>
              <w:rPr>
                <w:rFonts w:ascii="Times New Roman" w:eastAsia="HiraKakuProN-W3" w:hAnsi="Times New Roman"/>
                <w:kern w:val="2"/>
                <w:sz w:val="18"/>
                <w:szCs w:val="18"/>
                <w:vertAlign w:val="superscript"/>
              </w:rPr>
              <w:t>6</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Telefono: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PEC o e-mail:</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Internet o sito web) (</w:t>
            </w:r>
            <w:r>
              <w:rPr>
                <w:rFonts w:ascii="Times New Roman" w:eastAsia="HiraKakuProN-W3" w:hAnsi="Times New Roman"/>
                <w:i/>
                <w:iCs/>
                <w:kern w:val="2"/>
                <w:sz w:val="18"/>
                <w:szCs w:val="18"/>
              </w:rPr>
              <w:t>ove esistente</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generali: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è una microimpresa, oppure un’impresa piccola o media (</w:t>
            </w:r>
            <w:r>
              <w:rPr>
                <w:rFonts w:ascii="Times New Roman" w:eastAsia="HiraKakuProN-W3" w:hAnsi="Times New Roman"/>
                <w:kern w:val="2"/>
                <w:sz w:val="18"/>
                <w:szCs w:val="18"/>
                <w:vertAlign w:val="superscript"/>
              </w:rPr>
              <w:t>7</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 xml:space="preserve">Solo se l’appalto è riservato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8</w:t>
            </w:r>
            <w:r>
              <w:rPr>
                <w:rFonts w:ascii="Times New Roman" w:eastAsia="HiraKakuProN-W3" w:hAnsi="Times New Roman"/>
                <w:kern w:val="2"/>
                <w:sz w:val="18"/>
                <w:szCs w:val="18"/>
              </w:rPr>
              <w:t>): l’operatore economico è un laboratorio protetto, un’“impresa sociale” (</w:t>
            </w:r>
            <w:r>
              <w:rPr>
                <w:rFonts w:ascii="Times New Roman" w:eastAsia="HiraKakuProN-W3" w:hAnsi="Times New Roman"/>
                <w:kern w:val="2"/>
                <w:sz w:val="18"/>
                <w:szCs w:val="18"/>
                <w:vertAlign w:val="superscript"/>
              </w:rPr>
              <w:t>9</w:t>
            </w:r>
            <w:r>
              <w:rPr>
                <w:rFonts w:ascii="Times New Roman" w:eastAsia="HiraKakuProN-W3" w:hAnsi="Times New Roman"/>
                <w:kern w:val="2"/>
                <w:sz w:val="18"/>
                <w:szCs w:val="18"/>
              </w:rPr>
              <w:t>) o provvede all’esecuzione del contratto nel contesto di programmi di lavoro protetti (articolo 112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qual è la percentuale corrispondente di lavoratori con disabilità o svantaggiati?</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specificare a quale o quali categorie di lavoratori con disabilità o svantaggiati appartengono i dipendenti interessati:</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113"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Se pertinente: l’operatore economico è iscritto in un elenco ufficiale di imprenditori, fornitori, o prestatori di servizi o possiede una certificazione rilasciata da organismi accreditati, ai sensi dell’articolo 90 del Codice?</w:t>
            </w: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Rispondere compilando le altre parti di questa sezione, la sezione B e, ove pertinente, la sezione C della presente parte, la parte III, la parte V se applicabile, e in ogni caso compilare e firmare la parte VI.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la denominazione dell’elenco o del certificato e, se pertinente, il pertinente numero di iscrizione o della certificazione</w:t>
            </w: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il certificato di iscrizione o la certificazione è disponibile elettronicamente, indicare:</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spacing w:val="-2"/>
                <w:kern w:val="2"/>
                <w:sz w:val="18"/>
                <w:szCs w:val="18"/>
              </w:rPr>
            </w:pPr>
            <w:r>
              <w:rPr>
                <w:rFonts w:ascii="Times New Roman" w:eastAsia="HiraKakuProN-W3" w:hAnsi="Times New Roman"/>
                <w:kern w:val="2"/>
                <w:sz w:val="18"/>
                <w:szCs w:val="18"/>
              </w:rPr>
              <w:t>c) I</w:t>
            </w:r>
            <w:r>
              <w:rPr>
                <w:rFonts w:ascii="Times New Roman" w:eastAsia="HiraKakuProN-W3" w:hAnsi="Times New Roman"/>
                <w:spacing w:val="-2"/>
                <w:kern w:val="2"/>
                <w:sz w:val="18"/>
                <w:szCs w:val="18"/>
              </w:rPr>
              <w:t>ndicare i riferimenti in base ai quali è stata ottenuta l’iscrizione o la certificazione e, se pertinente, la classificazione ricevuta nell’elenco ufficiale (</w:t>
            </w:r>
            <w:r>
              <w:rPr>
                <w:rFonts w:ascii="Times New Roman" w:eastAsia="HiraKakuProN-W3" w:hAnsi="Times New Roman"/>
                <w:spacing w:val="-2"/>
                <w:kern w:val="2"/>
                <w:sz w:val="18"/>
                <w:szCs w:val="18"/>
                <w:vertAlign w:val="superscript"/>
              </w:rPr>
              <w:t>10</w:t>
            </w:r>
            <w:r>
              <w:rPr>
                <w:rFonts w:ascii="Times New Roman" w:eastAsia="HiraKakuProN-W3" w:hAnsi="Times New Roman"/>
                <w:spacing w:val="-2"/>
                <w:kern w:val="2"/>
                <w:sz w:val="18"/>
                <w:szCs w:val="18"/>
              </w:rPr>
              <w:t>):</w:t>
            </w:r>
          </w:p>
          <w:p w:rsidR="003D78F6" w:rsidRDefault="003D78F6" w:rsidP="003D78F6">
            <w:pPr>
              <w:widowControl w:val="0"/>
              <w:autoSpaceDE w:val="0"/>
              <w:autoSpaceDN w:val="0"/>
              <w:adjustRightInd w:val="0"/>
              <w:spacing w:before="120" w:after="12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d) L’iscrizione o la certificazione comprende tutti i criteri di selezione richiesti?</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kern w:val="2"/>
                <w:sz w:val="18"/>
                <w:szCs w:val="18"/>
              </w:rPr>
            </w:pPr>
            <w:r>
              <w:rPr>
                <w:rFonts w:ascii="Times New Roman" w:eastAsia="HiraKakuProN-W3" w:hAnsi="Times New Roman"/>
                <w:b/>
                <w:bCs/>
                <w:kern w:val="2"/>
                <w:sz w:val="18"/>
                <w:szCs w:val="18"/>
              </w:rPr>
              <w:t>In caso di risposta negativa alla lettera d):</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b/>
                <w:bCs/>
                <w:i/>
                <w:iCs/>
                <w:kern w:val="2"/>
                <w:sz w:val="18"/>
                <w:szCs w:val="18"/>
              </w:rPr>
            </w:pPr>
            <w:r>
              <w:rPr>
                <w:rFonts w:ascii="Times New Roman" w:eastAsia="HiraKakuProN-W3" w:hAnsi="Times New Roman"/>
                <w:b/>
                <w:bCs/>
                <w:kern w:val="2"/>
                <w:sz w:val="18"/>
                <w:szCs w:val="18"/>
              </w:rPr>
              <w:t>Inserire inoltre tutte le informazioni mancanti nella parte IV, sezione A, B, C, o D secondo il caso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b/>
                <w:bCs/>
                <w:i/>
                <w:iCs/>
                <w:kern w:val="2"/>
                <w:sz w:val="18"/>
                <w:szCs w:val="18"/>
              </w:rPr>
              <w:t>SOLO se richiesto dal pertinente avviso o bando o dai documenti di gara:</w:t>
            </w:r>
          </w:p>
          <w:p w:rsidR="003D78F6" w:rsidRDefault="003D78F6" w:rsidP="003D78F6">
            <w:pPr>
              <w:widowControl w:val="0"/>
              <w:tabs>
                <w:tab w:val="left" w:pos="240"/>
              </w:tabs>
              <w:autoSpaceDE w:val="0"/>
              <w:autoSpaceDN w:val="0"/>
              <w:adjustRightInd w:val="0"/>
              <w:spacing w:before="120" w:after="120" w:line="288" w:lineRule="auto"/>
              <w:ind w:left="220" w:right="-6" w:hanging="220"/>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e) L’operatore economico potrà fornire un </w:t>
            </w:r>
            <w:r>
              <w:rPr>
                <w:rFonts w:ascii="Times New Roman" w:eastAsia="HiraKakuProN-W3" w:hAnsi="Times New Roman"/>
                <w:b/>
                <w:bCs/>
                <w:kern w:val="2"/>
                <w:sz w:val="18"/>
                <w:szCs w:val="18"/>
              </w:rPr>
              <w:t>certificato</w:t>
            </w:r>
            <w:r>
              <w:rPr>
                <w:rFonts w:ascii="Times New Roman" w:eastAsia="HiraKakuProN-W3" w:hAnsi="Times New Roman"/>
                <w:kern w:val="2"/>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 [ ] Non applicabile</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tabs>
                <w:tab w:val="left" w:pos="0"/>
              </w:tabs>
              <w:autoSpaceDE w:val="0"/>
              <w:autoSpaceDN w:val="0"/>
              <w:adjustRightInd w:val="0"/>
              <w:spacing w:after="0"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227" w:line="288" w:lineRule="auto"/>
              <w:ind w:left="318" w:right="-6" w:hanging="318"/>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12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rsidR="003D78F6" w:rsidRDefault="003D78F6" w:rsidP="003D78F6">
            <w:pPr>
              <w:widowControl w:val="0"/>
              <w:autoSpaceDE w:val="0"/>
              <w:autoSpaceDN w:val="0"/>
              <w:adjustRightInd w:val="0"/>
              <w:spacing w:after="187"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before="120" w:after="414"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 [ ] Sì [ ] No</w:t>
            </w: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Se la documentazione pertinente è disponibile elettronicamente,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ovvero,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è in possesso di attestazione rilasciata nell’ambito dei Sistemi di qualificazione di cui all’articolo 134 del Codice, previsti per i settori speciali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284" w:right="-6" w:hanging="284"/>
              <w:jc w:val="center"/>
              <w:rPr>
                <w:rFonts w:ascii="Times New Roman" w:eastAsia="HiraKakuProN-W3" w:hAnsi="Times New Roman"/>
                <w:i/>
                <w:iCs/>
                <w:kern w:val="2"/>
                <w:sz w:val="18"/>
                <w:szCs w:val="18"/>
              </w:rPr>
            </w:pPr>
            <w:r>
              <w:rPr>
                <w:rFonts w:ascii="Times New Roman" w:eastAsia="HiraKakuProN-W3" w:hAnsi="Times New Roman"/>
                <w:kern w:val="2"/>
                <w:sz w:val="18"/>
                <w:szCs w:val="18"/>
              </w:rPr>
              <w:t>Indicare gli estremi dell’attestazione (denominazione dell’Organismo di attestazione ovvero Sistema di qualificazione, numero e data dell’attestazione)</w:t>
            </w:r>
          </w:p>
          <w:p w:rsidR="003D78F6" w:rsidRDefault="003D78F6" w:rsidP="003D78F6">
            <w:pPr>
              <w:widowControl w:val="0"/>
              <w:autoSpaceDE w:val="0"/>
              <w:autoSpaceDN w:val="0"/>
              <w:adjustRightInd w:val="0"/>
              <w:spacing w:after="0" w:line="288" w:lineRule="auto"/>
              <w:ind w:left="720" w:right="-6"/>
              <w:jc w:val="center"/>
              <w:rPr>
                <w:rFonts w:ascii="Times New Roman" w:eastAsia="HiraKakuProN-W3" w:hAnsi="Times New Roman"/>
                <w:i/>
                <w:i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 Se l’attestazione di qualificazione è disponibile elettronicamente, indicare:</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Indicare, se pertinente, le categorie di qualificazione alla quale si riferisce l’attestazione:</w:t>
            </w:r>
          </w:p>
          <w:p w:rsidR="003D78F6" w:rsidRDefault="003D78F6" w:rsidP="003D78F6">
            <w:pPr>
              <w:widowControl w:val="0"/>
              <w:tabs>
                <w:tab w:val="left" w:pos="300"/>
              </w:tabs>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tabs>
                <w:tab w:val="left" w:pos="300"/>
              </w:tabs>
              <w:autoSpaceDE w:val="0"/>
              <w:autoSpaceDN w:val="0"/>
              <w:adjustRightInd w:val="0"/>
              <w:spacing w:before="120" w:after="12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lastRenderedPageBreak/>
              <w:t>d)</w:t>
            </w:r>
            <w:r>
              <w:rPr>
                <w:rFonts w:ascii="Times New Roman" w:eastAsia="HiraKakuProN-W3" w:hAnsi="Times New Roman"/>
                <w:kern w:val="2"/>
                <w:sz w:val="18"/>
                <w:szCs w:val="18"/>
              </w:rPr>
              <w:tab/>
              <w:t>L’attestazione di qualificazione comprende tutti i criteri di selezione richiesti?</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w:t>
            </w: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left="360" w:right="-6" w:hanging="360"/>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318" w:right="-6" w:hanging="318"/>
              <w:jc w:val="center"/>
              <w:rPr>
                <w:rFonts w:ascii="Times New Roman" w:eastAsia="HiraKakuProN-W3" w:hAnsi="Times New Roman"/>
                <w:kern w:val="2"/>
                <w:sz w:val="18"/>
                <w:szCs w:val="18"/>
              </w:rPr>
            </w:pPr>
            <w:r>
              <w:rPr>
                <w:rFonts w:ascii="Times New Roman" w:eastAsia="HiraKakuProN-W3" w:hAnsi="Times New Roman"/>
                <w:kern w:val="2"/>
                <w:sz w:val="18"/>
                <w:szCs w:val="18"/>
              </w:rPr>
              <w:t>b)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18"/>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lastRenderedPageBreak/>
              <w:t>d) [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Forma della partecipazione:</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L’operatore economico partecipa alla procedura di appalto insieme ad altri (</w:t>
            </w:r>
            <w:r>
              <w:rPr>
                <w:rFonts w:ascii="Times New Roman" w:eastAsia="HiraKakuProN-W3" w:hAnsi="Times New Roman"/>
                <w:kern w:val="2"/>
                <w:sz w:val="18"/>
                <w:szCs w:val="18"/>
                <w:vertAlign w:val="superscript"/>
              </w:rPr>
              <w:t>11</w:t>
            </w:r>
            <w:r>
              <w:rPr>
                <w:rFonts w:ascii="Times New Roman" w:eastAsia="HiraKakuProN-W3" w:hAnsi="Times New Roman"/>
                <w:kern w:val="2"/>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40" w:after="4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accertarsi che gli altri operatori interessati forniscano un DGUE distinto.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w:t>
            </w:r>
          </w:p>
          <w:p w:rsidR="003D78F6" w:rsidRDefault="003D78F6" w:rsidP="003D78F6">
            <w:pPr>
              <w:widowControl w:val="0"/>
              <w:tabs>
                <w:tab w:val="left" w:pos="0"/>
              </w:tabs>
              <w:autoSpaceDE w:val="0"/>
              <w:autoSpaceDN w:val="0"/>
              <w:adjustRightInd w:val="0"/>
              <w:spacing w:before="120"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a)</w:t>
            </w:r>
            <w:r>
              <w:rPr>
                <w:rFonts w:ascii="Times New Roman" w:eastAsia="HiraKakuProN-W3" w:hAnsi="Times New Roman"/>
                <w:kern w:val="2"/>
                <w:sz w:val="18"/>
                <w:szCs w:val="18"/>
              </w:rPr>
              <w:tab/>
              <w:t xml:space="preserve">Specificare il ruolo dell’operatore economico nel raggruppamento, ovvero consorzio, GEIE, rete di impresa di cui all’art. 45, comma 2,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e</w:t>
            </w:r>
            <w:r>
              <w:rPr>
                <w:rFonts w:ascii="Times New Roman" w:eastAsia="HiraKakuProN-W3" w:hAnsi="Times New Roman"/>
                <w:kern w:val="2"/>
                <w:sz w:val="18"/>
                <w:szCs w:val="18"/>
              </w:rPr>
              <w:t xml:space="preserve">), </w:t>
            </w:r>
            <w:r>
              <w:rPr>
                <w:rFonts w:ascii="Times New Roman" w:eastAsia="HiraKakuProN-W3" w:hAnsi="Times New Roman"/>
                <w:i/>
                <w:iCs/>
                <w:kern w:val="2"/>
                <w:sz w:val="18"/>
                <w:szCs w:val="18"/>
              </w:rPr>
              <w:t>f</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e all’art. 46, comma 1,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w:t>
            </w:r>
            <w:r>
              <w:rPr>
                <w:rFonts w:ascii="Times New Roman" w:eastAsia="HiraKakuProN-W3" w:hAnsi="Times New Roman"/>
                <w:i/>
                <w:iCs/>
                <w:kern w:val="2"/>
                <w:sz w:val="18"/>
                <w:szCs w:val="18"/>
              </w:rPr>
              <w:t>, b</w:t>
            </w:r>
            <w:r>
              <w:rPr>
                <w:rFonts w:ascii="Times New Roman" w:eastAsia="HiraKakuProN-W3" w:hAnsi="Times New Roman"/>
                <w:kern w:val="2"/>
                <w:sz w:val="18"/>
                <w:szCs w:val="18"/>
              </w:rPr>
              <w:t>)</w:t>
            </w:r>
            <w:r>
              <w:rPr>
                <w:rFonts w:ascii="Times New Roman" w:eastAsia="HiraKakuProN-W3" w:hAnsi="Times New Roman"/>
                <w:i/>
                <w:iCs/>
                <w:kern w:val="2"/>
                <w:sz w:val="18"/>
                <w:szCs w:val="18"/>
              </w:rPr>
              <w:t>, c</w:t>
            </w:r>
            <w:r>
              <w:rPr>
                <w:rFonts w:ascii="Times New Roman" w:eastAsia="HiraKakuProN-W3" w:hAnsi="Times New Roman"/>
                <w:kern w:val="2"/>
                <w:sz w:val="18"/>
                <w:szCs w:val="18"/>
              </w:rPr>
              <w:t>)</w:t>
            </w:r>
            <w:r>
              <w:rPr>
                <w:rFonts w:ascii="Times New Roman" w:eastAsia="HiraKakuProN-W3" w:hAnsi="Times New Roman"/>
                <w:i/>
                <w:iCs/>
                <w:kern w:val="2"/>
                <w:sz w:val="18"/>
                <w:szCs w:val="18"/>
              </w:rPr>
              <w:t>, d</w:t>
            </w:r>
            <w:r>
              <w:rPr>
                <w:rFonts w:ascii="Times New Roman" w:eastAsia="HiraKakuProN-W3" w:hAnsi="Times New Roman"/>
                <w:kern w:val="2"/>
                <w:sz w:val="18"/>
                <w:szCs w:val="18"/>
              </w:rPr>
              <w:t xml:space="preserve">) ed </w:t>
            </w:r>
            <w:r>
              <w:rPr>
                <w:rFonts w:ascii="Times New Roman" w:eastAsia="HiraKakuProN-W3" w:hAnsi="Times New Roman"/>
                <w:i/>
                <w:iCs/>
                <w:kern w:val="2"/>
                <w:sz w:val="18"/>
                <w:szCs w:val="18"/>
              </w:rPr>
              <w:t>e</w:t>
            </w:r>
            <w:r>
              <w:rPr>
                <w:rFonts w:ascii="Times New Roman" w:eastAsia="HiraKakuProN-W3" w:hAnsi="Times New Roman"/>
                <w:kern w:val="2"/>
                <w:sz w:val="18"/>
                <w:szCs w:val="18"/>
              </w:rPr>
              <w:t>) del Codice (capofila, responsabile di compiti specifici, ecc.):</w:t>
            </w:r>
          </w:p>
          <w:p w:rsidR="003D78F6" w:rsidRDefault="003D78F6" w:rsidP="003D78F6">
            <w:pPr>
              <w:widowControl w:val="0"/>
              <w:autoSpaceDE w:val="0"/>
              <w:autoSpaceDN w:val="0"/>
              <w:adjustRightInd w:val="0"/>
              <w:spacing w:after="0" w:line="288" w:lineRule="auto"/>
              <w:ind w:left="284"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r>
              <w:rPr>
                <w:rFonts w:ascii="Times New Roman" w:eastAsia="HiraKakuProN-W3" w:hAnsi="Times New Roman"/>
                <w:kern w:val="2"/>
                <w:sz w:val="18"/>
                <w:szCs w:val="18"/>
              </w:rPr>
              <w:t>b)</w:t>
            </w:r>
            <w:r>
              <w:rPr>
                <w:rFonts w:ascii="Times New Roman" w:eastAsia="HiraKakuProN-W3" w:hAnsi="Times New Roman"/>
                <w:kern w:val="2"/>
                <w:sz w:val="18"/>
                <w:szCs w:val="18"/>
              </w:rPr>
              <w:tab/>
              <w:t>Indicare gli altri operatori economici che compartecipano alla procedura di appalto:</w:t>
            </w: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b/>
                <w:bCs/>
                <w:kern w:val="2"/>
                <w:sz w:val="18"/>
                <w:szCs w:val="18"/>
              </w:rPr>
            </w:pPr>
            <w:r>
              <w:rPr>
                <w:rFonts w:ascii="Times New Roman" w:eastAsia="HiraKakuProN-W3" w:hAnsi="Times New Roman"/>
                <w:kern w:val="2"/>
                <w:sz w:val="18"/>
                <w:szCs w:val="18"/>
              </w:rPr>
              <w:t>c)</w:t>
            </w:r>
            <w:r>
              <w:rPr>
                <w:rFonts w:ascii="Times New Roman" w:eastAsia="HiraKakuProN-W3" w:hAnsi="Times New Roman"/>
                <w:kern w:val="2"/>
                <w:sz w:val="18"/>
                <w:szCs w:val="18"/>
              </w:rPr>
              <w:tab/>
              <w:t>Se pertinente, indicare il nome del raggruppamento partecipante: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left="284" w:right="-6" w:hanging="284"/>
              <w:jc w:val="center"/>
              <w:rPr>
                <w:rFonts w:ascii="Times New Roman" w:eastAsia="HiraKakuProN-W3" w:hAnsi="Times New Roman"/>
                <w:kern w:val="2"/>
                <w:sz w:val="24"/>
                <w:szCs w:val="24"/>
              </w:rPr>
            </w:pPr>
            <w:r>
              <w:rPr>
                <w:rFonts w:ascii="Times New Roman" w:eastAsia="HiraKakuProN-W3" w:hAnsi="Times New Roman"/>
                <w:kern w:val="2"/>
                <w:sz w:val="18"/>
                <w:szCs w:val="18"/>
              </w:rPr>
              <w:t>d)</w:t>
            </w:r>
            <w:r>
              <w:rPr>
                <w:rFonts w:ascii="Times New Roman" w:eastAsia="HiraKakuProN-W3" w:hAnsi="Times New Roman"/>
                <w:kern w:val="2"/>
                <w:sz w:val="18"/>
                <w:szCs w:val="18"/>
              </w:rPr>
              <w:tab/>
              <w:t xml:space="preserve">Se pertinente, indicare la denominazione degli operatori economici facenti parte di un consorzio di cui all’art. 45, comma 2,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xml:space="preserve">) e </w:t>
            </w:r>
            <w:r>
              <w:rPr>
                <w:rFonts w:ascii="Times New Roman" w:eastAsia="HiraKakuProN-W3" w:hAnsi="Times New Roman"/>
                <w:i/>
                <w:iCs/>
                <w:kern w:val="2"/>
                <w:sz w:val="18"/>
                <w:szCs w:val="18"/>
              </w:rPr>
              <w:t>c</w:t>
            </w:r>
            <w:r>
              <w:rPr>
                <w:rFonts w:ascii="Times New Roman" w:eastAsia="HiraKakuProN-W3" w:hAnsi="Times New Roman"/>
                <w:kern w:val="2"/>
                <w:sz w:val="18"/>
                <w:szCs w:val="18"/>
              </w:rPr>
              <w:t xml:space="preserve">), o di una società di professionisti di cui all’art. 46, comma 1, lett. </w:t>
            </w:r>
            <w:r>
              <w:rPr>
                <w:rFonts w:ascii="Times New Roman" w:eastAsia="HiraKakuProN-W3" w:hAnsi="Times New Roman"/>
                <w:i/>
                <w:iCs/>
                <w:kern w:val="2"/>
                <w:sz w:val="18"/>
                <w:szCs w:val="18"/>
              </w:rPr>
              <w:t>f</w:t>
            </w:r>
            <w:r>
              <w:rPr>
                <w:rFonts w:ascii="Times New Roman" w:eastAsia="HiraKakuProN-W3" w:hAnsi="Times New Roman"/>
                <w:kern w:val="2"/>
                <w:sz w:val="18"/>
                <w:szCs w:val="18"/>
              </w:rPr>
              <w:t>) che eseguono le prestazioni oggetto del contratto.</w:t>
            </w:r>
          </w:p>
        </w:tc>
        <w:tc>
          <w:tcPr>
            <w:tcW w:w="0" w:type="auto"/>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Lotti</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pertinente, indicare il lotto o i lotti per i quali l’operatore economico intende presentare un’offerta:</w:t>
            </w:r>
          </w:p>
        </w:tc>
        <w:tc>
          <w:tcPr>
            <w:tcW w:w="0" w:type="auto"/>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before="120" w:after="12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r>
        <w:rPr>
          <w:rFonts w:ascii="Times New Roman" w:eastAsia="HiraKakuProN-W3" w:hAnsi="Times New Roman"/>
          <w:spacing w:val="-2"/>
          <w:kern w:val="2"/>
          <w:sz w:val="20"/>
          <w:szCs w:val="20"/>
        </w:rPr>
        <w:t>B: Informazioni sui rappresentanti dell’operatore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i/>
          <w:i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i/>
                <w:iCs/>
                <w:kern w:val="2"/>
                <w:sz w:val="20"/>
                <w:szCs w:val="20"/>
              </w:rPr>
              <w:t>Se pertinente, indicare nome e indirizzo delle persone abilitate ad agire come rappresentanti,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ivi compresi procuratori e institori,</w:t>
            </w:r>
            <w:r>
              <w:rPr>
                <w:rFonts w:ascii="Times New Roman" w:eastAsia="HiraKakuProN-W3" w:hAnsi="Times New Roman"/>
                <w:b/>
                <w:bCs/>
                <w:i/>
                <w:iCs/>
                <w:kern w:val="2"/>
                <w:sz w:val="20"/>
                <w:szCs w:val="20"/>
              </w:rPr>
              <w:t xml:space="preserve"> </w:t>
            </w:r>
            <w:r>
              <w:rPr>
                <w:rFonts w:ascii="Times New Roman" w:eastAsia="HiraKakuProN-W3" w:hAnsi="Times New Roman"/>
                <w:i/>
                <w:iCs/>
                <w:kern w:val="2"/>
                <w:sz w:val="20"/>
                <w:szCs w:val="20"/>
              </w:rPr>
              <w:t>dell’operatore economico ai fini della procedura di appalto in oggetto; se intervengono più legali rappresentanti ripetere tante volte quanto necessario.</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tblPr>
      <w:tblGrid>
        <w:gridCol w:w="4644"/>
        <w:gridCol w:w="2716"/>
      </w:tblGrid>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Eventuali rappresentanti:</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Nome completo;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richiesto, indicare altresì data e luogo di nascita:</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Posizione/Titolo ad agire:</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Indirizzo postale:</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Telefono:</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E-mail:</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64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necessario, fornire precisazioni sulla rappresentanza (forma, portata, scopo, firma congiunta):</w:t>
            </w:r>
          </w:p>
        </w:tc>
        <w:tc>
          <w:tcPr>
            <w:tcW w:w="2716"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before="283"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C: Informazioni sull’affidamento SULLE Capacità di altri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soggetti (Articolo 89 del Codice - Avvalimento)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644"/>
        <w:gridCol w:w="2726"/>
      </w:tblGrid>
      <w:tr w:rsidR="003D78F6" w:rsidTr="003D78F6">
        <w:tc>
          <w:tcPr>
            <w:tcW w:w="464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Affidamento:</w:t>
            </w:r>
          </w:p>
        </w:tc>
        <w:tc>
          <w:tcPr>
            <w:tcW w:w="2726"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64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fa affidamento sulle capacità di altri soggetti per soddisfare i criteri di selezione della parte IV e rispettare i criteri e le regole (eventuali) della parte V?</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Indicare la denominazione degli operatori economici di cui si intende avvalersi: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Indicare i requisiti oggetto di avvalimento:</w:t>
            </w:r>
          </w:p>
        </w:tc>
        <w:tc>
          <w:tcPr>
            <w:tcW w:w="2726"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i/>
                <w:iCs/>
                <w:kern w:val="2"/>
                <w:sz w:val="20"/>
                <w:szCs w:val="20"/>
              </w:rPr>
              <w:t>In caso affermativo</w:t>
            </w:r>
            <w:r>
              <w:rPr>
                <w:rFonts w:ascii="Times New Roman" w:eastAsia="HiraKakuProN-W3" w:hAnsi="Times New Roman"/>
                <w:kern w:val="2"/>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Times New Roman" w:eastAsia="HiraKakuProN-W3" w:hAnsi="Times New Roman"/>
                <w:b/>
                <w:bCs/>
                <w:kern w:val="2"/>
                <w:sz w:val="20"/>
                <w:szCs w:val="20"/>
              </w:rPr>
              <w:t>Sezioni A e B della presente Parte, dalla Parte III, dalla Parte IV ove pertinente e dalla Parte VI.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i/>
          <w:i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D: Informazioni concernenti i subappaltatori sulle cui capacità l’operatore economico non fa affidamento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(Articolo 105 del Codice - Subappalto)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lastRenderedPageBreak/>
              <w:t>(Tale sezione è da compilare solo se le informazioni sono esplicitamente richieste dall’amministrazione aggiudicatrice o dall’ente aggiudicatore).</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384"/>
        <w:gridCol w:w="2986"/>
      </w:tblGrid>
      <w:tr w:rsidR="003D78F6" w:rsidTr="003D78F6">
        <w:tc>
          <w:tcPr>
            <w:tcW w:w="438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Subappaltatore:</w:t>
            </w:r>
          </w:p>
        </w:tc>
        <w:tc>
          <w:tcPr>
            <w:tcW w:w="2986"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384" w:type="dxa"/>
            <w:tcBorders>
              <w:top w:val="single" w:sz="6" w:space="0" w:color="BFBFBF"/>
              <w:left w:val="single" w:sz="6" w:space="0" w:color="BFBFBF"/>
              <w:bottom w:val="single" w:sz="6" w:space="0" w:color="BFBFBF"/>
              <w:right w:val="single" w:sz="6" w:space="0" w:color="BFBFBF"/>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L’operatore economico intende subappaltare parte del contratto a terzi?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Elencare le prestazioni o lavorazioni che si intende subappaltare e la relativa quota (espressa in percentuale) sull’importo contrattuale: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Nel caso ricorrano le condizioni di cui all’articolo 105, comma 6 del Codice, indicare la denominazione dei subappaltatori proposti:</w:t>
            </w:r>
          </w:p>
        </w:tc>
        <w:tc>
          <w:tcPr>
            <w:tcW w:w="2986" w:type="dxa"/>
            <w:tcBorders>
              <w:top w:val="single" w:sz="6" w:space="0" w:color="BFBFBF"/>
              <w:left w:val="single" w:sz="6" w:space="0" w:color="BFBFBF"/>
              <w:bottom w:val="single" w:sz="6" w:space="0" w:color="BFBFBF"/>
              <w:right w:val="single" w:sz="6" w:space="0" w:color="BFBFBF"/>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32"/>
                <w:szCs w:val="32"/>
              </w:rPr>
            </w:pPr>
            <w:r>
              <w:rPr>
                <w:rFonts w:ascii="Times New Roman" w:eastAsia="HiraKakuProN-W3" w:hAnsi="Times New Roman"/>
                <w:b/>
                <w:bCs/>
                <w:kern w:val="2"/>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b/>
          <w:bCs/>
          <w:kern w:val="2"/>
          <w:sz w:val="20"/>
          <w:szCs w:val="20"/>
        </w:rPr>
        <w:t xml:space="preserve">Parte III: Motivi di esclusione </w:t>
      </w:r>
      <w:r>
        <w:rPr>
          <w:rFonts w:ascii="Times New Roman" w:eastAsia="HiraKakuProN-W3" w:hAnsi="Times New Roman"/>
          <w:kern w:val="2"/>
          <w:sz w:val="20"/>
          <w:szCs w:val="20"/>
        </w:rPr>
        <w:t>(Articolo 80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r>
        <w:rPr>
          <w:rFonts w:ascii="Times New Roman" w:eastAsia="HiraKakuProN-W3" w:hAnsi="Times New Roman"/>
          <w:kern w:val="2"/>
          <w:sz w:val="20"/>
          <w:szCs w:val="20"/>
        </w:rPr>
        <w:t>A: Motivi legati a condanne penali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L’articolo 57, paragrafo 1, della direttiva 2014/24/UE stabilisce i seguenti motivi di esclusione (articolo 80, comma 1 del Codice):</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1.</w:t>
            </w:r>
            <w:r>
              <w:rPr>
                <w:rFonts w:ascii="Times New Roman" w:eastAsia="HiraKakuProN-W3" w:hAnsi="Times New Roman"/>
                <w:kern w:val="2"/>
                <w:sz w:val="20"/>
                <w:szCs w:val="20"/>
              </w:rPr>
              <w:tab/>
              <w:t>Partecipazione a un’organizzazione criminale (</w:t>
            </w:r>
            <w:r>
              <w:rPr>
                <w:rFonts w:ascii="Times New Roman" w:eastAsia="HiraKakuProN-W3" w:hAnsi="Times New Roman"/>
                <w:kern w:val="2"/>
                <w:sz w:val="20"/>
                <w:szCs w:val="20"/>
                <w:vertAlign w:val="superscript"/>
              </w:rPr>
              <w:t>12</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2.</w:t>
            </w:r>
            <w:r>
              <w:rPr>
                <w:rFonts w:ascii="Times New Roman" w:eastAsia="HiraKakuProN-W3" w:hAnsi="Times New Roman"/>
                <w:kern w:val="2"/>
                <w:sz w:val="20"/>
                <w:szCs w:val="20"/>
              </w:rPr>
              <w:tab/>
              <w:t>Corruzione (</w:t>
            </w:r>
            <w:r>
              <w:rPr>
                <w:rFonts w:ascii="Times New Roman" w:eastAsia="HiraKakuProN-W3" w:hAnsi="Times New Roman"/>
                <w:kern w:val="2"/>
                <w:sz w:val="20"/>
                <w:szCs w:val="20"/>
                <w:vertAlign w:val="superscript"/>
              </w:rPr>
              <w:t>13</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3.</w:t>
            </w:r>
            <w:r>
              <w:rPr>
                <w:rFonts w:ascii="Times New Roman" w:eastAsia="HiraKakuProN-W3" w:hAnsi="Times New Roman"/>
                <w:kern w:val="2"/>
                <w:sz w:val="20"/>
                <w:szCs w:val="20"/>
              </w:rPr>
              <w:tab/>
              <w:t>Frode (</w:t>
            </w:r>
            <w:r>
              <w:rPr>
                <w:rFonts w:ascii="Times New Roman" w:eastAsia="HiraKakuProN-W3" w:hAnsi="Times New Roman"/>
                <w:kern w:val="2"/>
                <w:sz w:val="20"/>
                <w:szCs w:val="20"/>
                <w:vertAlign w:val="superscript"/>
              </w:rPr>
              <w:t>14</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4.</w:t>
            </w:r>
            <w:r>
              <w:rPr>
                <w:rFonts w:ascii="Times New Roman" w:eastAsia="HiraKakuProN-W3" w:hAnsi="Times New Roman"/>
                <w:kern w:val="2"/>
                <w:sz w:val="20"/>
                <w:szCs w:val="20"/>
              </w:rPr>
              <w:tab/>
              <w:t>Reati terroristici o reati connessi alle attività terroristiche (</w:t>
            </w:r>
            <w:r>
              <w:rPr>
                <w:rFonts w:ascii="Times New Roman" w:eastAsia="HiraKakuProN-W3" w:hAnsi="Times New Roman"/>
                <w:kern w:val="2"/>
                <w:sz w:val="20"/>
                <w:szCs w:val="20"/>
                <w:vertAlign w:val="superscript"/>
              </w:rPr>
              <w:t>15</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spacing w:val="-4"/>
                <w:kern w:val="2"/>
                <w:sz w:val="20"/>
                <w:szCs w:val="20"/>
              </w:rPr>
              <w:t>5.</w:t>
            </w:r>
            <w:r>
              <w:rPr>
                <w:rFonts w:ascii="Times New Roman" w:eastAsia="HiraKakuProN-W3" w:hAnsi="Times New Roman"/>
                <w:spacing w:val="-4"/>
                <w:kern w:val="2"/>
                <w:sz w:val="20"/>
                <w:szCs w:val="20"/>
              </w:rPr>
              <w:tab/>
              <w:t>Riciclaggio di proventi di attività criminose o finanziamento al terrorismo (</w:t>
            </w:r>
            <w:r>
              <w:rPr>
                <w:rFonts w:ascii="Times New Roman" w:eastAsia="HiraKakuProN-W3" w:hAnsi="Times New Roman"/>
                <w:spacing w:val="-4"/>
                <w:kern w:val="2"/>
                <w:sz w:val="20"/>
                <w:szCs w:val="20"/>
                <w:vertAlign w:val="superscript"/>
              </w:rPr>
              <w:t>16</w:t>
            </w:r>
            <w:r>
              <w:rPr>
                <w:rFonts w:ascii="Times New Roman" w:eastAsia="HiraKakuProN-W3" w:hAnsi="Times New Roman"/>
                <w:spacing w:val="-4"/>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0"/>
                <w:szCs w:val="20"/>
              </w:rPr>
            </w:pPr>
            <w:r>
              <w:rPr>
                <w:rFonts w:ascii="Times New Roman" w:eastAsia="HiraKakuProN-W3" w:hAnsi="Times New Roman"/>
                <w:kern w:val="2"/>
                <w:sz w:val="20"/>
                <w:szCs w:val="20"/>
              </w:rPr>
              <w:t>6.</w:t>
            </w:r>
            <w:r>
              <w:rPr>
                <w:rFonts w:ascii="Times New Roman" w:eastAsia="HiraKakuProN-W3" w:hAnsi="Times New Roman"/>
                <w:kern w:val="2"/>
                <w:sz w:val="20"/>
                <w:szCs w:val="20"/>
              </w:rPr>
              <w:tab/>
              <w:t>Lavoro minorile e altre forme di tratta di esseri umani (</w:t>
            </w:r>
            <w:r>
              <w:rPr>
                <w:rFonts w:ascii="Times New Roman" w:eastAsia="HiraKakuProN-W3" w:hAnsi="Times New Roman"/>
                <w:kern w:val="2"/>
                <w:sz w:val="20"/>
                <w:szCs w:val="20"/>
                <w:vertAlign w:val="superscript"/>
              </w:rPr>
              <w:t>17</w:t>
            </w:r>
            <w:r>
              <w:rPr>
                <w:rFonts w:ascii="Times New Roman" w:eastAsia="HiraKakuProN-W3" w:hAnsi="Times New Roman"/>
                <w:kern w:val="2"/>
                <w:sz w:val="20"/>
                <w:szCs w:val="20"/>
              </w:rPr>
              <w:t>);</w:t>
            </w:r>
          </w:p>
          <w:p w:rsidR="003D78F6" w:rsidRDefault="003D78F6" w:rsidP="003D78F6">
            <w:pPr>
              <w:widowControl w:val="0"/>
              <w:tabs>
                <w:tab w:val="left" w:pos="-142"/>
                <w:tab w:val="left" w:pos="240"/>
              </w:tabs>
              <w:autoSpaceDE w:val="0"/>
              <w:autoSpaceDN w:val="0"/>
              <w:adjustRightInd w:val="0"/>
              <w:spacing w:after="0" w:line="288" w:lineRule="auto"/>
              <w:ind w:left="240" w:right="-6" w:hanging="240"/>
              <w:jc w:val="center"/>
              <w:rPr>
                <w:rFonts w:ascii="Times New Roman" w:eastAsia="HiraKakuProN-W3" w:hAnsi="Times New Roman"/>
                <w:kern w:val="2"/>
                <w:sz w:val="24"/>
                <w:szCs w:val="24"/>
              </w:rPr>
            </w:pPr>
            <w:r>
              <w:rPr>
                <w:rFonts w:ascii="Times New Roman" w:eastAsia="HiraKakuProN-W3" w:hAnsi="Times New Roman"/>
                <w:kern w:val="2"/>
                <w:sz w:val="20"/>
                <w:szCs w:val="20"/>
              </w:rPr>
              <w:t>7.</w:t>
            </w:r>
            <w:r>
              <w:rPr>
                <w:rFonts w:ascii="Times New Roman" w:eastAsia="HiraKakuProN-W3" w:hAnsi="Times New Roman"/>
                <w:kern w:val="2"/>
                <w:sz w:val="20"/>
                <w:szCs w:val="20"/>
              </w:rPr>
              <w:tab/>
              <w:t xml:space="preserve">Ogni altro delitto da cui derivi, quale pena accessoria, l’incapacità di contrattare con la pubblica amministrazione (lettera </w:t>
            </w:r>
            <w:r>
              <w:rPr>
                <w:rFonts w:ascii="Times New Roman" w:eastAsia="HiraKakuProN-W3" w:hAnsi="Times New Roman"/>
                <w:i/>
                <w:iCs/>
                <w:kern w:val="2"/>
                <w:sz w:val="20"/>
                <w:szCs w:val="20"/>
              </w:rPr>
              <w:t>g</w:t>
            </w:r>
            <w:r>
              <w:rPr>
                <w:rFonts w:ascii="Times New Roman" w:eastAsia="HiraKakuProN-W3" w:hAnsi="Times New Roman"/>
                <w:kern w:val="2"/>
                <w:sz w:val="20"/>
                <w:szCs w:val="20"/>
              </w:rPr>
              <w:t>) articolo 80, comma 1 del Codice).</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3918"/>
        <w:gridCol w:w="3442"/>
      </w:tblGrid>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Motivi legati a condanne penali ai sensi delle disposizioni nazionali di attuazione dei motivi stabiliti dall’articolo 57, paragrafo 1, della direttiva </w:t>
            </w:r>
            <w:r>
              <w:rPr>
                <w:rFonts w:ascii="Times New Roman" w:eastAsia="HiraKakuProN-W3" w:hAnsi="Times New Roman"/>
                <w:kern w:val="2"/>
                <w:sz w:val="18"/>
                <w:szCs w:val="18"/>
              </w:rPr>
              <w:t>(articolo 80, comma 1 del Codice):</w:t>
            </w:r>
          </w:p>
        </w:tc>
        <w:tc>
          <w:tcPr>
            <w:tcW w:w="3442"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I soggetti di cui all’art. 80, comma 3 del Codice sono stati </w:t>
            </w:r>
            <w:r>
              <w:rPr>
                <w:rFonts w:ascii="Times New Roman" w:eastAsia="HiraKakuProN-W3" w:hAnsi="Times New Roman"/>
                <w:b/>
                <w:bCs/>
                <w:kern w:val="2"/>
                <w:sz w:val="18"/>
                <w:szCs w:val="18"/>
              </w:rPr>
              <w:t>condannati con sentenza definitiva</w:t>
            </w:r>
            <w:r>
              <w:rPr>
                <w:rFonts w:ascii="Times New Roman" w:eastAsia="HiraKakuProN-W3" w:hAnsi="Times New Roman"/>
                <w:kern w:val="2"/>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w:t>
            </w:r>
            <w:r>
              <w:rPr>
                <w:rFonts w:ascii="Times New Roman" w:eastAsia="HiraKakuProN-W3" w:hAnsi="Times New Roman"/>
                <w:kern w:val="2"/>
                <w:sz w:val="18"/>
                <w:szCs w:val="18"/>
              </w:rPr>
              <w:lastRenderedPageBreak/>
              <w:t>ovvero desumibile ai sensi dell’art. 80, comma 10?</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Se la documentazione pertinente è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w:t>
            </w:r>
            <w:r>
              <w:rPr>
                <w:rFonts w:ascii="Times New Roman" w:eastAsia="HiraKakuProN-W3" w:hAnsi="Times New Roman"/>
                <w:kern w:val="2"/>
                <w:sz w:val="18"/>
                <w:szCs w:val="18"/>
                <w:vertAlign w:val="superscript"/>
              </w:rPr>
              <w:t>18</w:t>
            </w:r>
            <w:r>
              <w:rPr>
                <w:rFonts w:ascii="Times New Roman" w:eastAsia="HiraKakuProN-W3" w:hAnsi="Times New Roman"/>
                <w:kern w:val="2"/>
                <w:sz w:val="18"/>
                <w:szCs w:val="18"/>
              </w:rPr>
              <w:t>)</w:t>
            </w:r>
          </w:p>
        </w:tc>
      </w:tr>
      <w:tr w:rsidR="003D78F6" w:rsidTr="003D78F6">
        <w:tc>
          <w:tcPr>
            <w:tcW w:w="3918"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lastRenderedPageBreak/>
              <w:t>In caso affermativo</w:t>
            </w:r>
            <w:r>
              <w:rPr>
                <w:rFonts w:ascii="Times New Roman" w:eastAsia="HiraKakuProN-W3" w:hAnsi="Times New Roman"/>
                <w:kern w:val="2"/>
                <w:sz w:val="18"/>
                <w:szCs w:val="18"/>
              </w:rPr>
              <w:t>, indicare (</w:t>
            </w:r>
            <w:r>
              <w:rPr>
                <w:rFonts w:ascii="Times New Roman" w:eastAsia="HiraKakuProN-W3" w:hAnsi="Times New Roman"/>
                <w:kern w:val="2"/>
                <w:sz w:val="18"/>
                <w:szCs w:val="18"/>
                <w:vertAlign w:val="superscript"/>
              </w:rPr>
              <w:t>19</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a) la data della condanna, del decreto penale di condanna o della sentenza di applicazione della pena su richiesta, la relativa durata e il reato commesso tra quelli riportati all’articolo 80, comma 1, lettera da </w:t>
            </w:r>
            <w:r>
              <w:rPr>
                <w:rFonts w:ascii="Times New Roman" w:eastAsia="HiraKakuProN-W3" w:hAnsi="Times New Roman"/>
                <w:i/>
                <w:iCs/>
                <w:kern w:val="2"/>
                <w:sz w:val="18"/>
                <w:szCs w:val="18"/>
              </w:rPr>
              <w:t>a)</w:t>
            </w:r>
            <w:r>
              <w:rPr>
                <w:rFonts w:ascii="Times New Roman" w:eastAsia="HiraKakuProN-W3" w:hAnsi="Times New Roman"/>
                <w:kern w:val="2"/>
                <w:sz w:val="18"/>
                <w:szCs w:val="18"/>
              </w:rPr>
              <w:t xml:space="preserve"> a </w:t>
            </w:r>
            <w:r>
              <w:rPr>
                <w:rFonts w:ascii="Times New Roman" w:eastAsia="HiraKakuProN-W3" w:hAnsi="Times New Roman"/>
                <w:i/>
                <w:iCs/>
                <w:kern w:val="2"/>
                <w:sz w:val="18"/>
                <w:szCs w:val="18"/>
              </w:rPr>
              <w:t>g)</w:t>
            </w:r>
            <w:r>
              <w:rPr>
                <w:rFonts w:ascii="Times New Roman" w:eastAsia="HiraKakuProN-W3" w:hAnsi="Times New Roman"/>
                <w:kern w:val="2"/>
                <w:sz w:val="18"/>
                <w:szCs w:val="18"/>
              </w:rPr>
              <w:t xml:space="preserve"> del Codice e i motivi di condanna,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dati identificativi delle persone condannate [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se stabilita direttamente nella sentenza di condanna la durata della pena accessoria, indicare:</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Data: [ ], durata: [ ], lettera ....... comma 1, articolo 80 [ ], motivi:[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c) durata del periodo d’esclusione [..…], lettera ...... comma 1, articolo 80 [ ],</w:t>
            </w:r>
          </w:p>
        </w:tc>
      </w:tr>
      <w:tr w:rsidR="003D78F6" w:rsidTr="003D78F6">
        <w:tc>
          <w:tcPr>
            <w:tcW w:w="3918"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In caso di sentenze di condanna, l’operatore economico ha adottato misure sufficienti a dimostrare la sua affidabilità nonostante l’esistenza di un pertinente motivo di esclusione (</w:t>
            </w:r>
            <w:r>
              <w:rPr>
                <w:rFonts w:ascii="Times New Roman" w:eastAsia="HiraKakuProN-W3" w:hAnsi="Times New Roman"/>
                <w:kern w:val="2"/>
                <w:sz w:val="18"/>
                <w:szCs w:val="18"/>
                <w:vertAlign w:val="superscript"/>
              </w:rPr>
              <w:t>20</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(autodisciplina o “Self-Cleaning”, cfr. articolo 80, comma 7)</w:t>
            </w:r>
            <w:r>
              <w:rPr>
                <w:rFonts w:ascii="Times New Roman" w:eastAsia="HiraKakuProN-W3" w:hAnsi="Times New Roman"/>
                <w:kern w:val="2"/>
                <w:sz w:val="18"/>
                <w:szCs w:val="18"/>
              </w:rPr>
              <w:t>?</w:t>
            </w:r>
          </w:p>
        </w:tc>
        <w:tc>
          <w:tcPr>
            <w:tcW w:w="3442"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3918"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1) la sentenza di condanna definitiva ha riconosciuto l’attenuante della collaborazione come definita dalle singole fattispecie di reato?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2) la sentenza definitiva di condanna prevede una pena detentiva non superiore a 18 mesi?</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3) in caso di risposta affermativa per le ipotesi 1) e/o 2), i soggetti di cui all’art. 80, comma 3, del Codice:</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hanno risarcito interamente il danno?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sono impegnati formalmente a risarcire il danno?</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4) per le ipotesi 1) e 2 l’operatore economico ha adottato misure di carattere tecnico o organizzativo e relativi al personale idonei a prevenire ulteriori illeciti o reati?</w:t>
            </w: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rPr>
            </w:pPr>
            <w:r>
              <w:rPr>
                <w:rFonts w:ascii="Times New Roman" w:eastAsia="HiraKakuProN-W3" w:hAnsi="Times New Roman"/>
                <w:kern w:val="2"/>
                <w:sz w:val="18"/>
                <w:szCs w:val="18"/>
              </w:rPr>
              <w:t>5)</w:t>
            </w:r>
            <w:r>
              <w:rPr>
                <w:rFonts w:ascii="Times New Roman" w:eastAsia="HiraKakuProN-W3" w:hAnsi="Times New Roman"/>
                <w:b/>
                <w:bCs/>
                <w:kern w:val="2"/>
                <w:sz w:val="18"/>
                <w:szCs w:val="18"/>
              </w:rPr>
              <w:t xml:space="preserve"> </w:t>
            </w:r>
            <w:r>
              <w:rPr>
                <w:rFonts w:ascii="Times New Roman" w:eastAsia="HiraKakuProN-W3" w:hAnsi="Times New Roman"/>
                <w:kern w:val="2"/>
                <w:sz w:val="18"/>
                <w:szCs w:val="18"/>
              </w:rPr>
              <w:t>se le sentenze di condanna sono state emesse nei confronti dei soggetti cessati di cui all’art. 80, comma 3, indicare le misure che dimostrano la completa ed effettiva dissociazione dalla condotta penalmente sanzionata:</w:t>
            </w:r>
          </w:p>
        </w:tc>
        <w:tc>
          <w:tcPr>
            <w:tcW w:w="3442"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bl>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jc w:val="center"/>
        <w:rPr>
          <w:rFonts w:ascii="Times New Roman" w:eastAsia="HiraKakuProN-W3" w:hAnsi="Times New Roman"/>
          <w:kern w:val="2"/>
          <w:sz w:val="20"/>
          <w:szCs w:val="20"/>
        </w:rPr>
      </w:pPr>
      <w:r>
        <w:rPr>
          <w:rFonts w:ascii="Times New Roman" w:eastAsia="HiraKakuProN-W3" w:hAnsi="Times New Roman"/>
          <w:kern w:val="2"/>
          <w:sz w:val="20"/>
          <w:szCs w:val="20"/>
        </w:rPr>
        <w:br w:type="page"/>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B: MOTIVI LEGATI AL PAGAMENTO DI IMPOSTE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t>O CONTRIBUTI PREVIDENZIALI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tbl>
      <w:tblPr>
        <w:tblW w:w="0" w:type="auto"/>
        <w:tblLayout w:type="fixed"/>
        <w:tblLook w:val="04A0"/>
      </w:tblPr>
      <w:tblGrid>
        <w:gridCol w:w="3980"/>
        <w:gridCol w:w="3404"/>
        <w:gridCol w:w="3404"/>
      </w:tblGrid>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 xml:space="preserve">Pagamento di imposte, tasse o contributi previdenziali </w:t>
            </w:r>
            <w:r>
              <w:rPr>
                <w:rFonts w:ascii="Times New Roman" w:eastAsia="HiraKakuProN-W3" w:hAnsi="Times New Roman"/>
                <w:kern w:val="2"/>
                <w:sz w:val="18"/>
                <w:szCs w:val="18"/>
              </w:rPr>
              <w:t>(articolo 80, comma 4 del Codice):</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xml:space="preserve">L’operatore economico ha soddisfatto tutti </w:t>
            </w:r>
            <w:r>
              <w:rPr>
                <w:rFonts w:ascii="Times New Roman" w:eastAsia="HiraKakuProN-W3" w:hAnsi="Times New Roman"/>
                <w:b/>
                <w:bCs/>
                <w:kern w:val="2"/>
                <w:sz w:val="18"/>
                <w:szCs w:val="18"/>
              </w:rPr>
              <w:t>gli obblighi relativi al pagamento di imposte, tasse o contributi previdenziali,</w:t>
            </w:r>
            <w:r>
              <w:rPr>
                <w:rFonts w:ascii="Times New Roman" w:eastAsia="HiraKakuProN-W3" w:hAnsi="Times New Roman"/>
                <w:kern w:val="2"/>
                <w:sz w:val="18"/>
                <w:szCs w:val="18"/>
              </w:rPr>
              <w:t xml:space="preserve"> sia nel paese dove è stabilito sia nello Stato membro dell’amministrazione aggiudicatrice o dell’ente aggiudicatore, se diverso dal paese di stabilimento?</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r w:rsidR="003D78F6" w:rsidTr="003D78F6">
        <w:tc>
          <w:tcPr>
            <w:tcW w:w="3980" w:type="dxa"/>
            <w:vMerge w:val="restart"/>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negativo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Paese o Stato membro interessato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Di quale importo si tratta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 Come è stata stabilita tale inottemperanza: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1) Mediante una </w:t>
            </w:r>
            <w:r>
              <w:rPr>
                <w:rFonts w:ascii="Times New Roman" w:eastAsia="HiraKakuProN-W3" w:hAnsi="Times New Roman"/>
                <w:b/>
                <w:bCs/>
                <w:kern w:val="2"/>
                <w:sz w:val="18"/>
                <w:szCs w:val="18"/>
              </w:rPr>
              <w:t>decisione</w:t>
            </w:r>
            <w:r>
              <w:rPr>
                <w:rFonts w:ascii="Times New Roman" w:eastAsia="HiraKakuProN-W3" w:hAnsi="Times New Roman"/>
                <w:kern w:val="2"/>
                <w:sz w:val="18"/>
                <w:szCs w:val="18"/>
              </w:rPr>
              <w:t xml:space="preserve"> giudiziaria o amministrativa:</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Tale decisione è definitiva e vincolante?</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Indicare la data della sentenza di condanna o della decisione.</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spacing w:val="-3"/>
                <w:kern w:val="2"/>
              </w:rPr>
              <w:t xml:space="preserve">− </w:t>
            </w:r>
            <w:r>
              <w:rPr>
                <w:rFonts w:ascii="Times New Roman" w:eastAsia="HiraKakuProN-W3" w:hAnsi="Times New Roman"/>
                <w:kern w:val="2"/>
                <w:sz w:val="18"/>
                <w:szCs w:val="18"/>
              </w:rPr>
              <w:t xml:space="preserve">Nel caso di una sentenza di condanna, </w:t>
            </w:r>
            <w:r>
              <w:rPr>
                <w:rFonts w:ascii="Times New Roman" w:eastAsia="HiraKakuProN-W3" w:hAnsi="Times New Roman"/>
                <w:b/>
                <w:bCs/>
                <w:kern w:val="2"/>
                <w:sz w:val="18"/>
                <w:szCs w:val="18"/>
              </w:rPr>
              <w:t xml:space="preserve">se stabilita </w:t>
            </w:r>
            <w:r>
              <w:rPr>
                <w:rFonts w:ascii="Times New Roman" w:eastAsia="HiraKakuProN-W3" w:hAnsi="Times New Roman"/>
                <w:b/>
                <w:bCs/>
                <w:kern w:val="2"/>
                <w:sz w:val="18"/>
                <w:szCs w:val="18"/>
                <w:u w:val="thick"/>
              </w:rPr>
              <w:t>direttamente</w:t>
            </w:r>
            <w:r>
              <w:rPr>
                <w:rFonts w:ascii="Times New Roman" w:eastAsia="HiraKakuProN-W3" w:hAnsi="Times New Roman"/>
                <w:b/>
                <w:bCs/>
                <w:kern w:val="2"/>
                <w:sz w:val="18"/>
                <w:szCs w:val="18"/>
              </w:rPr>
              <w:t xml:space="preserve"> nella sentenza di condanna</w:t>
            </w:r>
            <w:r>
              <w:rPr>
                <w:rFonts w:ascii="Times New Roman" w:eastAsia="HiraKakuProN-W3" w:hAnsi="Times New Roman"/>
                <w:kern w:val="2"/>
                <w:sz w:val="18"/>
                <w:szCs w:val="18"/>
              </w:rPr>
              <w:t>, la durata del periodo d’esclusione: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2) In </w:t>
            </w:r>
            <w:r>
              <w:rPr>
                <w:rFonts w:ascii="Times New Roman" w:eastAsia="HiraKakuProN-W3" w:hAnsi="Times New Roman"/>
                <w:b/>
                <w:bCs/>
                <w:kern w:val="2"/>
                <w:sz w:val="18"/>
                <w:szCs w:val="18"/>
              </w:rPr>
              <w:t>altro modo</w:t>
            </w:r>
            <w:r>
              <w:rPr>
                <w:rFonts w:ascii="Times New Roman" w:eastAsia="HiraKakuProN-W3" w:hAnsi="Times New Roman"/>
                <w:kern w:val="2"/>
                <w:sz w:val="18"/>
                <w:szCs w:val="18"/>
              </w:rPr>
              <w:t>? Specificare: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741"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Imposte/tasse</w:t>
            </w:r>
          </w:p>
        </w:tc>
        <w:tc>
          <w:tcPr>
            <w:tcW w:w="1663"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Contributi previdenziali</w:t>
            </w:r>
          </w:p>
        </w:tc>
      </w:tr>
      <w:tr w:rsidR="003D78F6" w:rsidTr="003D78F6">
        <w:tc>
          <w:tcPr>
            <w:tcW w:w="3980" w:type="dxa"/>
            <w:vMerge/>
            <w:tcBorders>
              <w:top w:val="single" w:sz="4" w:space="0" w:color="auto"/>
              <w:left w:val="single" w:sz="4" w:space="0" w:color="auto"/>
              <w:bottom w:val="single" w:sz="4" w:space="0" w:color="auto"/>
              <w:right w:val="single" w:sz="4" w:space="0" w:color="auto"/>
            </w:tcBorders>
            <w:vAlign w:val="center"/>
            <w:hideMark/>
          </w:tcPr>
          <w:p w:rsidR="003D78F6" w:rsidRDefault="003D78F6" w:rsidP="003D78F6">
            <w:pPr>
              <w:spacing w:after="0" w:line="240" w:lineRule="auto"/>
              <w:jc w:val="center"/>
              <w:rPr>
                <w:rFonts w:ascii="Times New Roman" w:eastAsia="HiraKakuProN-W3" w:hAnsi="Times New Roman"/>
                <w:kern w:val="2"/>
                <w:sz w:val="24"/>
                <w:szCs w:val="24"/>
              </w:rPr>
            </w:pPr>
          </w:p>
        </w:tc>
        <w:tc>
          <w:tcPr>
            <w:tcW w:w="1741"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c>
          <w:tcPr>
            <w:tcW w:w="1663"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a)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c1)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c2)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w:t>
            </w:r>
          </w:p>
        </w:tc>
      </w:tr>
      <w:tr w:rsidR="003D78F6" w:rsidTr="003D78F6">
        <w:tc>
          <w:tcPr>
            <w:tcW w:w="398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Se la documentazione pertinente relativa al pagamento di imposte o contributi previdenziali è disponibile elettronicamente, indicare:</w:t>
            </w:r>
          </w:p>
        </w:tc>
        <w:tc>
          <w:tcPr>
            <w:tcW w:w="3404"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(indirizzo web, autorità o organismo di emanazione, riferimento preciso della documentazione) (</w:t>
            </w:r>
            <w:r>
              <w:rPr>
                <w:rFonts w:ascii="Times New Roman" w:eastAsia="HiraKakuProN-W3" w:hAnsi="Times New Roman"/>
                <w:kern w:val="2"/>
                <w:sz w:val="18"/>
                <w:szCs w:val="18"/>
                <w:vertAlign w:val="superscript"/>
              </w:rPr>
              <w:t>21</w:t>
            </w: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c>
          <w:tcPr>
            <w:tcW w:w="3404"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40" w:lineRule="auto"/>
              <w:jc w:val="center"/>
              <w:rPr>
                <w:rFonts w:ascii="Times New Roman" w:eastAsia="HiraKakuProN-W3" w:hAnsi="Times New Roman"/>
                <w:kern w:val="2"/>
                <w:sz w:val="24"/>
                <w:szCs w:val="24"/>
              </w:rPr>
            </w:pP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widowControl w:val="0"/>
        <w:autoSpaceDE w:val="0"/>
        <w:autoSpaceDN w:val="0"/>
        <w:adjustRightInd w:val="0"/>
        <w:ind w:right="-6"/>
        <w:jc w:val="center"/>
        <w:rPr>
          <w:rFonts w:ascii="Times New Roman" w:eastAsia="HiraKakuProN-W3" w:hAnsi="Times New Roman"/>
          <w:i/>
          <w:iCs/>
          <w:kern w:val="2"/>
          <w:sz w:val="20"/>
          <w:szCs w:val="20"/>
        </w:rPr>
      </w:pPr>
    </w:p>
    <w:p w:rsidR="003D78F6" w:rsidRDefault="003D78F6" w:rsidP="003D78F6">
      <w:pPr>
        <w:jc w:val="center"/>
        <w:rPr>
          <w:rFonts w:ascii="Times New Roman" w:eastAsia="HiraKakuProN-W3" w:hAnsi="Times New Roman"/>
          <w:i/>
          <w:iCs/>
          <w:kern w:val="2"/>
          <w:sz w:val="20"/>
          <w:szCs w:val="20"/>
        </w:rPr>
      </w:pPr>
      <w:r>
        <w:rPr>
          <w:rFonts w:ascii="Times New Roman" w:eastAsia="HiraKakuProN-W3" w:hAnsi="Times New Roman"/>
          <w:i/>
          <w:iCs/>
          <w:kern w:val="2"/>
          <w:sz w:val="20"/>
          <w:szCs w:val="20"/>
        </w:rPr>
        <w:br w:type="page"/>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0"/>
          <w:szCs w:val="20"/>
        </w:rPr>
      </w:pPr>
      <w:r>
        <w:rPr>
          <w:rFonts w:ascii="Times New Roman" w:eastAsia="HiraKakuProN-W3" w:hAnsi="Times New Roman"/>
          <w:kern w:val="2"/>
          <w:sz w:val="20"/>
          <w:szCs w:val="20"/>
        </w:rPr>
        <w:lastRenderedPageBreak/>
        <w:t>C: motivi legati a insolvenza, conflitto di interessi o illeciti professionali (</w:t>
      </w:r>
      <w:r>
        <w:rPr>
          <w:rFonts w:ascii="Times New Roman" w:eastAsia="HiraKakuProN-W3" w:hAnsi="Times New Roman"/>
          <w:kern w:val="2"/>
          <w:sz w:val="20"/>
          <w:szCs w:val="20"/>
          <w:vertAlign w:val="superscript"/>
        </w:rPr>
        <w:t>22</w:t>
      </w:r>
      <w:r>
        <w:rPr>
          <w:rFonts w:ascii="Times New Roman" w:eastAsia="HiraKakuProN-W3" w:hAnsi="Times New Roman"/>
          <w:kern w:val="2"/>
          <w:sz w:val="20"/>
          <w:szCs w:val="20"/>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7350"/>
      </w:tblGrid>
      <w:tr w:rsidR="003D78F6" w:rsidTr="003D78F6">
        <w:tc>
          <w:tcPr>
            <w:tcW w:w="735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20"/>
          <w:szCs w:val="20"/>
        </w:rPr>
      </w:pPr>
    </w:p>
    <w:tbl>
      <w:tblPr>
        <w:tblW w:w="0" w:type="auto"/>
        <w:tblLayout w:type="fixed"/>
        <w:tblLook w:val="04A0"/>
      </w:tblPr>
      <w:tblGrid>
        <w:gridCol w:w="4020"/>
        <w:gridCol w:w="3340"/>
      </w:tblGrid>
      <w:tr w:rsidR="003D78F6" w:rsidTr="003D78F6">
        <w:tc>
          <w:tcPr>
            <w:tcW w:w="402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Informazioni su eventuali situazioni di insolvenza, conflitto di interessi o illeciti professionali</w:t>
            </w:r>
          </w:p>
        </w:tc>
        <w:tc>
          <w:tcPr>
            <w:tcW w:w="3340" w:type="dxa"/>
            <w:tcBorders>
              <w:top w:val="single" w:sz="4" w:space="0" w:color="auto"/>
              <w:left w:val="single" w:sz="4" w:space="0" w:color="auto"/>
              <w:bottom w:val="single" w:sz="4"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Risposta:</w:t>
            </w:r>
          </w:p>
        </w:tc>
      </w:tr>
      <w:tr w:rsidR="003D78F6" w:rsidTr="003D78F6">
        <w:tc>
          <w:tcPr>
            <w:tcW w:w="4020" w:type="dxa"/>
            <w:vMerge w:val="restart"/>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ha violato, </w:t>
            </w:r>
            <w:r>
              <w:rPr>
                <w:rFonts w:ascii="Times New Roman" w:eastAsia="HiraKakuProN-W3" w:hAnsi="Times New Roman"/>
                <w:b/>
                <w:bCs/>
                <w:kern w:val="2"/>
                <w:sz w:val="18"/>
                <w:szCs w:val="18"/>
              </w:rPr>
              <w:t>per quanto di sua conoscenza</w:t>
            </w:r>
            <w:r>
              <w:rPr>
                <w:rFonts w:ascii="Times New Roman" w:eastAsia="HiraKakuProN-W3" w:hAnsi="Times New Roman"/>
                <w:kern w:val="2"/>
                <w:sz w:val="18"/>
                <w:szCs w:val="18"/>
              </w:rPr>
              <w:t xml:space="preserve">, </w:t>
            </w:r>
            <w:r>
              <w:rPr>
                <w:rFonts w:ascii="Times New Roman" w:eastAsia="HiraKakuProN-W3" w:hAnsi="Times New Roman"/>
                <w:b/>
                <w:bCs/>
                <w:kern w:val="2"/>
                <w:sz w:val="18"/>
                <w:szCs w:val="18"/>
              </w:rPr>
              <w:t>obblighi</w:t>
            </w:r>
            <w:r>
              <w:rPr>
                <w:rFonts w:ascii="Times New Roman" w:eastAsia="HiraKakuProN-W3" w:hAnsi="Times New Roman"/>
                <w:kern w:val="2"/>
                <w:sz w:val="18"/>
                <w:szCs w:val="18"/>
              </w:rPr>
              <w:t xml:space="preserve"> applicabili in materia di salute e sicurezza sul lavoro,</w:t>
            </w:r>
            <w:r>
              <w:rPr>
                <w:rFonts w:ascii="Times New Roman" w:eastAsia="HiraKakuProN-W3" w:hAnsi="Times New Roman"/>
                <w:b/>
                <w:bCs/>
                <w:kern w:val="2"/>
                <w:sz w:val="18"/>
                <w:szCs w:val="18"/>
              </w:rPr>
              <w:t xml:space="preserve"> di diritto ambientale, sociale e del lavoro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23</w:t>
            </w:r>
            <w:r>
              <w:rPr>
                <w:rFonts w:ascii="Times New Roman" w:eastAsia="HiraKakuProN-W3" w:hAnsi="Times New Roman"/>
                <w:kern w:val="2"/>
                <w:sz w:val="18"/>
                <w:szCs w:val="18"/>
              </w:rPr>
              <w:t xml:space="preserve">), di cui all’articolo 80, comma 5,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sufficienti a dimostrare la sua affidabilità nonostante l’esistenza di un pertinente motivo di esclusione (autodisciplina o “Self-Cleaning’’, cfr. articolo 80, comma 7)?</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ha risarcito interamente il danno?</w:t>
            </w:r>
          </w:p>
          <w:p w:rsidR="003D78F6" w:rsidRDefault="003D78F6" w:rsidP="003D78F6">
            <w:pPr>
              <w:widowControl w:val="0"/>
              <w:tabs>
                <w:tab w:val="left" w:pos="25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si è impegnato formalmente a risarcire il danno?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304"/>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6" w:space="0" w:color="auto"/>
              <w:right w:val="single" w:sz="4" w:space="0" w:color="auto"/>
            </w:tcBorders>
            <w:hideMark/>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 ] Sì [ ] No</w:t>
            </w:r>
          </w:p>
        </w:tc>
      </w:tr>
      <w:tr w:rsidR="003D78F6" w:rsidTr="003D78F6">
        <w:tc>
          <w:tcPr>
            <w:tcW w:w="4020" w:type="dxa"/>
            <w:vMerge/>
            <w:tcBorders>
              <w:top w:val="single" w:sz="4" w:space="0" w:color="auto"/>
              <w:left w:val="single" w:sz="4" w:space="0" w:color="auto"/>
              <w:bottom w:val="single" w:sz="4" w:space="0" w:color="auto"/>
              <w:right w:val="single" w:sz="4" w:space="0" w:color="auto"/>
            </w:tcBorders>
            <w:vAlign w:val="center"/>
            <w:hideMark/>
          </w:tcPr>
          <w:p w:rsidR="003D78F6" w:rsidRDefault="003D78F6" w:rsidP="003D78F6">
            <w:pPr>
              <w:spacing w:after="0" w:line="240" w:lineRule="auto"/>
              <w:jc w:val="center"/>
              <w:rPr>
                <w:rFonts w:ascii="Times New Roman" w:eastAsia="HiraKakuProN-W3" w:hAnsi="Times New Roman"/>
                <w:kern w:val="2"/>
                <w:sz w:val="24"/>
                <w:szCs w:val="24"/>
              </w:rPr>
            </w:pPr>
          </w:p>
        </w:tc>
        <w:tc>
          <w:tcPr>
            <w:tcW w:w="3340" w:type="dxa"/>
            <w:tcBorders>
              <w:top w:val="single" w:sz="6"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L’operatore economico si trova in una delle seguenti situazioni oppure è sottoposto a un procedimento per l’accertamento di una delle seguenti situazioni di cui all’articolo 80, comma 5, lett. </w:t>
            </w:r>
            <w:r>
              <w:rPr>
                <w:rFonts w:ascii="Times New Roman" w:eastAsia="HiraKakuProN-W3" w:hAnsi="Times New Roman"/>
                <w:i/>
                <w:iCs/>
                <w:kern w:val="2"/>
                <w:sz w:val="18"/>
                <w:szCs w:val="18"/>
              </w:rPr>
              <w:t>b</w:t>
            </w:r>
            <w:r>
              <w:rPr>
                <w:rFonts w:ascii="Times New Roman" w:eastAsia="HiraKakuProN-W3" w:hAnsi="Times New Roman"/>
                <w:kern w:val="2"/>
                <w:sz w:val="18"/>
                <w:szCs w:val="18"/>
              </w:rPr>
              <w:t>) del Codice:</w:t>
            </w:r>
          </w:p>
          <w:p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a) fallimento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il curatore del fallimento è stato autorizzato all’esercizio provvisorio ed è stato autorizzato dal giudice delegato a partecipare a procedure di affidamento di contratti pubblici (articolo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la partecipazione alla procedura di affidamento è stata subordinata ai sensi dell’art. 110, comma 5, </w:t>
            </w:r>
            <w:r>
              <w:rPr>
                <w:rFonts w:ascii="Times New Roman" w:eastAsia="HiraKakuProN-W3" w:hAnsi="Times New Roman"/>
                <w:kern w:val="2"/>
                <w:sz w:val="18"/>
                <w:szCs w:val="18"/>
              </w:rPr>
              <w:lastRenderedPageBreak/>
              <w:t>all’avvalimento di altro operatore economico?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b) liquidazione coatta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r>
              <w:rPr>
                <w:rFonts w:ascii="Times New Roman" w:eastAsia="HiraKakuProN-W3" w:hAnsi="Times New Roman"/>
                <w:kern w:val="2"/>
                <w:sz w:val="18"/>
                <w:szCs w:val="18"/>
              </w:rPr>
              <w:t>c) concordato preventivo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d) è ammesso a concordato con continuità aziendale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In caso di risposta affermativa alla lettera </w:t>
            </w:r>
            <w:r>
              <w:rPr>
                <w:rFonts w:ascii="Times New Roman" w:eastAsia="HiraKakuProN-W3" w:hAnsi="Times New Roman"/>
                <w:b/>
                <w:bCs/>
                <w:i/>
                <w:iCs/>
                <w:kern w:val="2"/>
                <w:sz w:val="18"/>
                <w:szCs w:val="18"/>
              </w:rPr>
              <w:t>d</w:t>
            </w:r>
            <w:r>
              <w:rPr>
                <w:rFonts w:ascii="Times New Roman" w:eastAsia="HiraKakuProN-W3" w:hAnsi="Times New Roman"/>
                <w:b/>
                <w:bCs/>
                <w:kern w:val="2"/>
                <w:sz w:val="18"/>
                <w:szCs w:val="18"/>
              </w:rPr>
              <w:t>):</w:t>
            </w:r>
          </w:p>
          <w:p w:rsidR="003D78F6" w:rsidRDefault="003D78F6" w:rsidP="003D78F6">
            <w:pPr>
              <w:widowControl w:val="0"/>
              <w:tabs>
                <w:tab w:val="left" w:pos="0"/>
                <w:tab w:val="left" w:pos="304"/>
              </w:tabs>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 xml:space="preserve">è stato autorizzato dal giudice delegato ai sensi dell’articolo 110, comma 3, lett. </w:t>
            </w:r>
            <w:r>
              <w:rPr>
                <w:rFonts w:ascii="Times New Roman" w:eastAsia="HiraKakuProN-W3" w:hAnsi="Times New Roman"/>
                <w:i/>
                <w:iCs/>
                <w:kern w:val="2"/>
                <w:sz w:val="18"/>
                <w:szCs w:val="18"/>
              </w:rPr>
              <w:t>a</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p>
          <w:p w:rsidR="003D78F6" w:rsidRDefault="003D78F6" w:rsidP="003D78F6">
            <w:pPr>
              <w:widowControl w:val="0"/>
              <w:tabs>
                <w:tab w:val="left" w:pos="0"/>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20"/>
                <w:szCs w:val="20"/>
              </w:rPr>
              <w:t xml:space="preserve">– </w:t>
            </w:r>
            <w:r>
              <w:rPr>
                <w:rFonts w:ascii="Times New Roman" w:eastAsia="HiraKakuProN-W3" w:hAnsi="Times New Roman"/>
                <w:kern w:val="2"/>
                <w:sz w:val="18"/>
                <w:szCs w:val="18"/>
              </w:rPr>
              <w:t>la partecipazione alla procedura di affidamento è stata subordinata ai sensi dell’art. 110, comma 5, all’avvalimento di altro operatore economico?</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gli estremi dei provvedimenti</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xml:space="preserve">In caso affermativo indicare l’Impresa </w:t>
            </w:r>
            <w:r>
              <w:rPr>
                <w:rFonts w:ascii="Times New Roman" w:eastAsia="HiraKakuProN-W3" w:hAnsi="Times New Roman"/>
                <w:kern w:val="2"/>
                <w:sz w:val="18"/>
                <w:szCs w:val="18"/>
              </w:rPr>
              <w:lastRenderedPageBreak/>
              <w:t>ausiliaria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indicare l’Impresa ausiliaria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lastRenderedPageBreak/>
              <w:t xml:space="preserve">L’operatore economico si è reso colpevole di </w:t>
            </w:r>
            <w:r>
              <w:rPr>
                <w:rFonts w:ascii="Times New Roman" w:eastAsia="HiraKakuProN-W3" w:hAnsi="Times New Roman"/>
                <w:b/>
                <w:bCs/>
                <w:kern w:val="2"/>
                <w:sz w:val="18"/>
                <w:szCs w:val="18"/>
              </w:rPr>
              <w:t xml:space="preserve">gravi illeciti professionali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24</w:t>
            </w:r>
            <w:r>
              <w:rPr>
                <w:rFonts w:ascii="Times New Roman" w:eastAsia="HiraKakuProN-W3" w:hAnsi="Times New Roman"/>
                <w:kern w:val="2"/>
                <w:sz w:val="18"/>
                <w:szCs w:val="18"/>
              </w:rPr>
              <w:t xml:space="preserve">) di cui all’art. 80, comma 5, lett. </w:t>
            </w:r>
            <w:r>
              <w:rPr>
                <w:rFonts w:ascii="Times New Roman" w:eastAsia="HiraKakuProN-W3" w:hAnsi="Times New Roman"/>
                <w:i/>
                <w:iCs/>
                <w:kern w:val="2"/>
                <w:sz w:val="18"/>
                <w:szCs w:val="18"/>
              </w:rPr>
              <w:t>c</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specificando la tipologia di illecito:</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l’operatore economico ha adottato misure di autodisciplina?</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indicare: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strike/>
                <w:kern w:val="2"/>
                <w:sz w:val="18"/>
                <w:szCs w:val="18"/>
              </w:rPr>
            </w:pPr>
            <w:r>
              <w:rPr>
                <w:rFonts w:ascii="Times New Roman" w:eastAsia="HiraKakuProN-W3" w:hAnsi="Times New Roman"/>
                <w:kern w:val="2"/>
                <w:sz w:val="18"/>
                <w:szCs w:val="18"/>
              </w:rPr>
              <w:t>1) L’operatore economico:</w:t>
            </w:r>
          </w:p>
          <w:p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ha risarcito interamente il danno?</w:t>
            </w:r>
          </w:p>
          <w:p w:rsidR="003D78F6" w:rsidRDefault="003D78F6" w:rsidP="003D78F6">
            <w:pPr>
              <w:widowControl w:val="0"/>
              <w:tabs>
                <w:tab w:val="left" w:pos="154"/>
              </w:tabs>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w:t>
            </w:r>
            <w:r>
              <w:rPr>
                <w:rFonts w:ascii="Times New Roman" w:eastAsia="HiraKakuProN-W3" w:hAnsi="Times New Roman"/>
                <w:kern w:val="2"/>
                <w:sz w:val="18"/>
                <w:szCs w:val="18"/>
              </w:rPr>
              <w:tab/>
              <w:t>si è impegnato formalmente a risarcire il danno?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tabs>
                <w:tab w:val="left" w:pos="162"/>
              </w:tabs>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2) l’operatore economico ha adottato misure di carattere tecnico o organizzativo e relativi al personale idonei a prevenire ulteriori illeciti o reati?</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In caso affermativo elencare la documentazione pertinente [ ] e, se disponibile elettronicamente, indicare: (indirizzo web, autorità o organismo di emanazione, riferimento preciso della documentazione):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Tr="003D78F6">
        <w:tc>
          <w:tcPr>
            <w:tcW w:w="402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b/>
                <w:bCs/>
                <w:kern w:val="2"/>
                <w:sz w:val="18"/>
                <w:szCs w:val="18"/>
              </w:rPr>
              <w:t xml:space="preserve">L’operatore economico è a conoscenza di qualsiasi conflitto di interessi </w:t>
            </w:r>
            <w:r>
              <w:rPr>
                <w:rFonts w:ascii="Times New Roman" w:eastAsia="HiraKakuProN-W3" w:hAnsi="Times New Roman"/>
                <w:kern w:val="2"/>
                <w:sz w:val="18"/>
                <w:szCs w:val="18"/>
              </w:rPr>
              <w:t>(</w:t>
            </w:r>
            <w:r>
              <w:rPr>
                <w:rFonts w:ascii="Times New Roman" w:eastAsia="HiraKakuProN-W3" w:hAnsi="Times New Roman"/>
                <w:kern w:val="2"/>
                <w:sz w:val="18"/>
                <w:szCs w:val="18"/>
                <w:vertAlign w:val="superscript"/>
              </w:rPr>
              <w:t>25</w:t>
            </w:r>
            <w:r>
              <w:rPr>
                <w:rFonts w:ascii="Times New Roman" w:eastAsia="HiraKakuProN-W3" w:hAnsi="Times New Roman"/>
                <w:kern w:val="2"/>
                <w:sz w:val="18"/>
                <w:szCs w:val="18"/>
              </w:rPr>
              <w:t xml:space="preserve">) legato alla sua partecipazione alla procedura di appalto (articolo 80, comma 5, lett. </w:t>
            </w:r>
            <w:r>
              <w:rPr>
                <w:rFonts w:ascii="Times New Roman" w:eastAsia="HiraKakuProN-W3" w:hAnsi="Times New Roman"/>
                <w:i/>
                <w:iCs/>
                <w:kern w:val="2"/>
                <w:sz w:val="18"/>
                <w:szCs w:val="18"/>
              </w:rPr>
              <w:t>d</w:t>
            </w:r>
            <w:r>
              <w:rPr>
                <w:rFonts w:ascii="Times New Roman" w:eastAsia="HiraKakuProN-W3" w:hAnsi="Times New Roman"/>
                <w:kern w:val="2"/>
                <w:sz w:val="18"/>
                <w:szCs w:val="18"/>
              </w:rPr>
              <w:t>) del Codice)?</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b/>
                <w:bCs/>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b/>
                <w:bCs/>
                <w:kern w:val="2"/>
                <w:sz w:val="18"/>
                <w:szCs w:val="18"/>
              </w:rPr>
              <w:t>In caso affermativo</w:t>
            </w:r>
            <w:r>
              <w:rPr>
                <w:rFonts w:ascii="Times New Roman" w:eastAsia="HiraKakuProN-W3" w:hAnsi="Times New Roman"/>
                <w:kern w:val="2"/>
                <w:sz w:val="18"/>
                <w:szCs w:val="18"/>
              </w:rPr>
              <w:t>, fornire informazioni dettagliate sulle modalità con cui è stato risolto il conflitto di interessi:</w:t>
            </w:r>
          </w:p>
        </w:tc>
        <w:tc>
          <w:tcPr>
            <w:tcW w:w="3340" w:type="dxa"/>
            <w:tcBorders>
              <w:top w:val="single" w:sz="4" w:space="0" w:color="auto"/>
              <w:left w:val="single" w:sz="4" w:space="0" w:color="auto"/>
              <w:bottom w:val="single" w:sz="4" w:space="0" w:color="auto"/>
              <w:right w:val="single" w:sz="4" w:space="0" w:color="auto"/>
            </w:tcBorders>
          </w:tcPr>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r>
              <w:rPr>
                <w:rFonts w:ascii="Times New Roman" w:eastAsia="HiraKakuProN-W3" w:hAnsi="Times New Roman"/>
                <w:kern w:val="2"/>
                <w:sz w:val="18"/>
                <w:szCs w:val="18"/>
              </w:rPr>
              <w:t>[ ] Sì [ ] No</w:t>
            </w: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18"/>
                <w:szCs w:val="18"/>
              </w:rPr>
            </w:pPr>
          </w:p>
          <w:p w:rsidR="003D78F6" w:rsidRDefault="003D78F6" w:rsidP="003D78F6">
            <w:pPr>
              <w:widowControl w:val="0"/>
              <w:autoSpaceDE w:val="0"/>
              <w:autoSpaceDN w:val="0"/>
              <w:adjustRightInd w:val="0"/>
              <w:spacing w:after="0" w:line="288" w:lineRule="auto"/>
              <w:ind w:right="-6"/>
              <w:jc w:val="center"/>
              <w:rPr>
                <w:rFonts w:ascii="Times New Roman" w:eastAsia="HiraKakuProN-W3" w:hAnsi="Times New Roman"/>
                <w:kern w:val="2"/>
                <w:sz w:val="24"/>
                <w:szCs w:val="24"/>
              </w:rPr>
            </w:pPr>
            <w:r>
              <w:rPr>
                <w:rFonts w:ascii="Times New Roman" w:eastAsia="HiraKakuProN-W3" w:hAnsi="Times New Roman"/>
                <w:kern w:val="2"/>
                <w:sz w:val="18"/>
                <w:szCs w:val="18"/>
              </w:rPr>
              <w:t>[………….]</w:t>
            </w:r>
          </w:p>
        </w:tc>
      </w:tr>
      <w:tr w:rsidR="003D78F6" w:rsidRPr="009730EC" w:rsidTr="003D78F6">
        <w:tc>
          <w:tcPr>
            <w:tcW w:w="402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 xml:space="preserve">L’operatore economico o </w:t>
            </w:r>
            <w:r w:rsidRPr="009730EC">
              <w:rPr>
                <w:rFonts w:eastAsia="HiraKakuProN-W3"/>
                <w:kern w:val="2"/>
              </w:rPr>
              <w:t xml:space="preserve">un’impresa a lui collegata </w:t>
            </w:r>
            <w:r w:rsidRPr="009730EC">
              <w:rPr>
                <w:rFonts w:eastAsia="HiraKakuProN-W3"/>
                <w:b/>
                <w:bCs/>
                <w:kern w:val="2"/>
              </w:rPr>
              <w:t>ha fornito consulenza</w:t>
            </w:r>
            <w:r w:rsidRPr="009730EC">
              <w:rPr>
                <w:rFonts w:eastAsia="HiraKakuProN-W3"/>
                <w:kern w:val="2"/>
              </w:rPr>
              <w:t xml:space="preserve"> all’amministrazione aggiudicatrice o all’ente aggiudicatore o ha altrimenti </w:t>
            </w:r>
            <w:r w:rsidRPr="009730EC">
              <w:rPr>
                <w:rFonts w:eastAsia="HiraKakuProN-W3"/>
                <w:b/>
                <w:bCs/>
                <w:kern w:val="2"/>
              </w:rPr>
              <w:lastRenderedPageBreak/>
              <w:t>partecipato alla preparazione</w:t>
            </w:r>
            <w:r w:rsidRPr="009730EC">
              <w:rPr>
                <w:rFonts w:eastAsia="HiraKakuProN-W3"/>
                <w:kern w:val="2"/>
              </w:rPr>
              <w:t xml:space="preserve"> della procedura d’aggiudicazione (articolo 80, comma 5, lett. </w:t>
            </w:r>
            <w:r w:rsidRPr="009730EC">
              <w:rPr>
                <w:rFonts w:eastAsia="HiraKakuProN-W3"/>
                <w:i/>
                <w:iCs/>
                <w:kern w:val="2"/>
              </w:rPr>
              <w:t>e</w:t>
            </w:r>
            <w:r w:rsidRPr="009730EC">
              <w:rPr>
                <w:rFonts w:eastAsia="HiraKakuProN-W3"/>
                <w:kern w:val="2"/>
              </w:rPr>
              <w:t>) del Codice?</w:t>
            </w:r>
          </w:p>
          <w:p w:rsidR="003D78F6" w:rsidRPr="009730EC" w:rsidRDefault="003D78F6" w:rsidP="003D78F6">
            <w:pPr>
              <w:widowControl w:val="0"/>
              <w:autoSpaceDE w:val="0"/>
              <w:autoSpaceDN w:val="0"/>
              <w:adjustRightInd w:val="0"/>
              <w:spacing w:after="0" w:line="288" w:lineRule="auto"/>
              <w:ind w:right="-6"/>
              <w:jc w:val="center"/>
              <w:rPr>
                <w:rFonts w:eastAsia="HiraKakuProN-W3"/>
                <w:b/>
                <w:bCs/>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In caso affermativo</w:t>
            </w:r>
            <w:r w:rsidRPr="009730EC">
              <w:rPr>
                <w:rFonts w:eastAsia="HiraKakuProN-W3"/>
                <w:kern w:val="2"/>
              </w:rPr>
              <w:t>, fornire informazioni dettagliate sulle misure adottate per prevenire le possibili distorsioni della concorrenza:</w:t>
            </w:r>
          </w:p>
        </w:tc>
        <w:tc>
          <w:tcPr>
            <w:tcW w:w="334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 ] Sì [ ] No</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w:t>
            </w:r>
          </w:p>
        </w:tc>
      </w:tr>
      <w:tr w:rsidR="003D78F6" w:rsidRPr="009730EC" w:rsidTr="003D78F6">
        <w:tc>
          <w:tcPr>
            <w:tcW w:w="402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lastRenderedPageBreak/>
              <w:t>L’operatore economico può confermare di:</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b/>
                <w:bCs/>
                <w:kern w:val="2"/>
              </w:rPr>
              <w:t>a) non essersi reso</w:t>
            </w:r>
            <w:r w:rsidRPr="009730EC">
              <w:rPr>
                <w:rFonts w:eastAsia="HiraKakuProN-W3"/>
                <w:kern w:val="2"/>
              </w:rPr>
              <w:t xml:space="preserve"> gravemente colpevole di </w:t>
            </w:r>
            <w:r w:rsidRPr="009730EC">
              <w:rPr>
                <w:rFonts w:eastAsia="HiraKakuProN-W3"/>
                <w:b/>
                <w:bCs/>
                <w:kern w:val="2"/>
              </w:rPr>
              <w:t>false dichiarazioni</w:t>
            </w:r>
            <w:r w:rsidRPr="009730EC">
              <w:rPr>
                <w:rFonts w:eastAsia="HiraKakuProN-W3"/>
                <w:kern w:val="2"/>
              </w:rPr>
              <w:t xml:space="preserve"> nel fornire le informazioni richieste per verificare l’assenza di motivi di esclusione o il rispetto dei criteri di selezione,</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xml:space="preserve">b) </w:t>
            </w:r>
            <w:r w:rsidRPr="009730EC">
              <w:rPr>
                <w:rFonts w:eastAsia="HiraKakuProN-W3"/>
                <w:b/>
                <w:bCs/>
                <w:kern w:val="2"/>
              </w:rPr>
              <w:t>non avere occultato</w:t>
            </w:r>
            <w:r w:rsidRPr="009730EC">
              <w:rPr>
                <w:rFonts w:eastAsia="HiraKakuProN-W3"/>
                <w:kern w:val="2"/>
              </w:rPr>
              <w:t xml:space="preserve"> tali informazioni?</w:t>
            </w:r>
          </w:p>
        </w:tc>
        <w:tc>
          <w:tcPr>
            <w:tcW w:w="3340" w:type="dxa"/>
            <w:tcBorders>
              <w:top w:val="single" w:sz="4" w:space="0" w:color="auto"/>
              <w:left w:val="single" w:sz="4" w:space="0" w:color="auto"/>
              <w:bottom w:val="single" w:sz="4" w:space="0" w:color="auto"/>
              <w:right w:val="single" w:sz="4" w:space="0" w:color="auto"/>
            </w:tcBorders>
          </w:tcPr>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p>
          <w:p w:rsidR="003D78F6" w:rsidRPr="009730EC" w:rsidRDefault="003D78F6" w:rsidP="003D78F6">
            <w:pPr>
              <w:widowControl w:val="0"/>
              <w:autoSpaceDE w:val="0"/>
              <w:autoSpaceDN w:val="0"/>
              <w:adjustRightInd w:val="0"/>
              <w:spacing w:after="0" w:line="288" w:lineRule="auto"/>
              <w:ind w:right="-6"/>
              <w:jc w:val="center"/>
              <w:rPr>
                <w:rFonts w:eastAsia="HiraKakuProN-W3"/>
                <w:kern w:val="2"/>
              </w:rPr>
            </w:pPr>
            <w:r w:rsidRPr="009730EC">
              <w:rPr>
                <w:rFonts w:eastAsia="HiraKakuProN-W3"/>
                <w:kern w:val="2"/>
              </w:rPr>
              <w:t>[ ] Sì [ ] No</w:t>
            </w:r>
          </w:p>
        </w:tc>
      </w:tr>
    </w:tbl>
    <w:p w:rsidR="00D45DCF" w:rsidRPr="009730EC" w:rsidRDefault="00D45DCF" w:rsidP="003D78F6">
      <w:pPr>
        <w:widowControl w:val="0"/>
        <w:autoSpaceDE w:val="0"/>
        <w:autoSpaceDN w:val="0"/>
        <w:adjustRightInd w:val="0"/>
        <w:spacing w:after="0" w:line="200" w:lineRule="atLeast"/>
        <w:ind w:right="-6" w:firstLine="340"/>
        <w:jc w:val="center"/>
        <w:rPr>
          <w:rFonts w:eastAsia="HiraKakuProN-W3"/>
          <w:kern w:val="2"/>
        </w:rPr>
      </w:pPr>
    </w:p>
    <w:p w:rsidR="00AA1BD1" w:rsidRPr="00AA1BD1" w:rsidRDefault="00AA1BD1" w:rsidP="00AA1BD1">
      <w:pPr>
        <w:jc w:val="center"/>
        <w:rPr>
          <w:rFonts w:ascii="Arial" w:hAnsi="Arial" w:cs="Arial"/>
          <w:sz w:val="16"/>
          <w:szCs w:val="16"/>
        </w:rPr>
      </w:pPr>
      <w:r w:rsidRPr="00AA1BD1">
        <w:rPr>
          <w:rFonts w:ascii="Arial" w:hAnsi="Arial" w:cs="Arial"/>
          <w:sz w:val="16"/>
          <w:szCs w:val="16"/>
        </w:rPr>
        <w:t>RISERVATEZZA</w:t>
      </w:r>
    </w:p>
    <w:p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Informativa sul trattamento dei dati personali</w:t>
      </w:r>
    </w:p>
    <w:p w:rsidR="00AA1BD1" w:rsidRPr="00AA1BD1" w:rsidRDefault="00AA1BD1" w:rsidP="00AA1BD1">
      <w:pPr>
        <w:jc w:val="center"/>
        <w:rPr>
          <w:rFonts w:ascii="Arial" w:hAnsi="Arial" w:cs="Arial"/>
          <w:color w:val="00000A"/>
          <w:sz w:val="16"/>
          <w:szCs w:val="16"/>
        </w:rPr>
      </w:pPr>
      <w:r w:rsidRPr="00AA1BD1">
        <w:rPr>
          <w:rFonts w:ascii="Arial" w:hAnsi="Arial" w:cs="Arial"/>
          <w:color w:val="00000A"/>
          <w:sz w:val="16"/>
          <w:szCs w:val="16"/>
        </w:rPr>
        <w:t xml:space="preserve">ai sensi degli artt. </w:t>
      </w:r>
      <w:bookmarkStart w:id="0" w:name="_GoBack"/>
      <w:bookmarkEnd w:id="0"/>
      <w:r w:rsidRPr="00AA1BD1">
        <w:rPr>
          <w:rFonts w:ascii="Arial" w:hAnsi="Arial" w:cs="Arial"/>
          <w:color w:val="00000A"/>
          <w:sz w:val="16"/>
          <w:szCs w:val="16"/>
        </w:rPr>
        <w:t>13  del Regolamento UE 2016/679 del 27/04/2016</w:t>
      </w:r>
    </w:p>
    <w:p w:rsidR="00AA1BD1" w:rsidRPr="00AA1BD1" w:rsidRDefault="00AA1BD1" w:rsidP="00AA1BD1">
      <w:pPr>
        <w:spacing w:line="221" w:lineRule="atLeast"/>
        <w:jc w:val="both"/>
        <w:rPr>
          <w:rFonts w:ascii="Arial" w:hAnsi="Arial" w:cs="Arial"/>
          <w:sz w:val="16"/>
          <w:szCs w:val="16"/>
        </w:rPr>
      </w:pPr>
      <w:r w:rsidRPr="00AA1BD1">
        <w:rPr>
          <w:rFonts w:ascii="Arial" w:hAnsi="Arial" w:cs="Arial"/>
          <w:sz w:val="16"/>
          <w:szCs w:val="16"/>
        </w:rPr>
        <w:t xml:space="preserve">Facendo riferimento all’art. 13 del Regolamento (UE) 2016/679 del Parlamento Europeo e del Consiglio del 27 aprile 2016 relativo alla protezione delle persone fisiche con riguardo al trattamento dei dati personali, si precisa che: </w:t>
      </w:r>
    </w:p>
    <w:p w:rsidR="00AA1BD1" w:rsidRPr="00AA1BD1" w:rsidRDefault="00AA1BD1" w:rsidP="00AA1BD1">
      <w:pPr>
        <w:pStyle w:val="Default"/>
        <w:jc w:val="both"/>
        <w:rPr>
          <w:rFonts w:ascii="Arial" w:hAnsi="Arial" w:cs="Arial"/>
          <w:sz w:val="16"/>
          <w:szCs w:val="16"/>
        </w:rPr>
      </w:pPr>
      <w:r w:rsidRPr="00AA1BD1">
        <w:rPr>
          <w:rFonts w:ascii="Arial" w:hAnsi="Arial" w:cs="Arial"/>
          <w:sz w:val="16"/>
          <w:szCs w:val="16"/>
        </w:rPr>
        <w:t>a) titolare del trattamento è il Comune di Gioia dei Marsi, ed i relativi dati di contatto sono i seguenti:  sede in Piazza della Repubblica n. 1 a Gioia dei Marsi, telefono n. + 39 0863/88168 pec. protocollocomunedigioiadeimarsi@pec.it</w:t>
      </w:r>
    </w:p>
    <w:p w:rsidR="00AA1BD1" w:rsidRPr="00AA1BD1" w:rsidRDefault="00AA1BD1" w:rsidP="00AA1BD1">
      <w:pPr>
        <w:spacing w:line="221" w:lineRule="atLeast"/>
        <w:ind w:left="284" w:hanging="284"/>
        <w:jc w:val="both"/>
        <w:rPr>
          <w:rFonts w:ascii="Arial" w:hAnsi="Arial" w:cs="Arial"/>
          <w:bCs/>
          <w:sz w:val="16"/>
          <w:szCs w:val="16"/>
        </w:rPr>
      </w:pPr>
      <w:r w:rsidRPr="00AA1BD1">
        <w:rPr>
          <w:rFonts w:ascii="Arial" w:hAnsi="Arial" w:cs="Arial"/>
          <w:sz w:val="16"/>
          <w:szCs w:val="16"/>
        </w:rPr>
        <w:t xml:space="preserve">b) il </w:t>
      </w:r>
      <w:r w:rsidRPr="00AA1BD1">
        <w:rPr>
          <w:rFonts w:ascii="Arial" w:hAnsi="Arial" w:cs="Arial"/>
          <w:bCs/>
          <w:sz w:val="16"/>
          <w:szCs w:val="16"/>
        </w:rPr>
        <w:t>Responsabile della protezione dei dati - Data Protection Officer (</w:t>
      </w:r>
      <w:hyperlink r:id="rId4" w:history="1">
        <w:r w:rsidRPr="00AA1BD1">
          <w:rPr>
            <w:rStyle w:val="Collegamentoipertestuale"/>
            <w:rFonts w:ascii="Arial" w:hAnsi="Arial" w:cs="Arial"/>
            <w:color w:val="000000"/>
            <w:sz w:val="16"/>
            <w:szCs w:val="16"/>
          </w:rPr>
          <w:t>RPD-DPO</w:t>
        </w:r>
      </w:hyperlink>
      <w:r w:rsidRPr="00AA1BD1">
        <w:rPr>
          <w:rFonts w:ascii="Arial" w:hAnsi="Arial" w:cs="Arial"/>
          <w:bCs/>
          <w:sz w:val="16"/>
          <w:szCs w:val="16"/>
        </w:rPr>
        <w:t xml:space="preserve">) è </w:t>
      </w:r>
      <w:r w:rsidRPr="00AA1BD1">
        <w:rPr>
          <w:rFonts w:ascii="Arial" w:hAnsi="Arial" w:cs="Arial"/>
          <w:sz w:val="16"/>
          <w:szCs w:val="16"/>
        </w:rPr>
        <w:t>l'Avv. Roberto Di Salvatore,con sede in Piazza Torlonia, 42 - 67051 AVEZZANO (AQ) e può essere contattato all’indirizzo  email avv.roberto.disalvatore@virgilio.it; all'indirizzo pec: avv.robertodisalvatore@pec.it; al numero di telefono 339 68.69.907;  scrivendo al Responsabile protezione dei dati del Comune di Gioia dei Marsi  avv. Roberto Di Salvatore - Piazza Torlonia, 42 - 67051 Avezzano (AQ ).</w:t>
      </w:r>
    </w:p>
    <w:p w:rsidR="00AA1BD1" w:rsidRPr="00AA1BD1" w:rsidRDefault="00AA1BD1" w:rsidP="00AA1BD1">
      <w:pPr>
        <w:ind w:left="180" w:hanging="180"/>
        <w:jc w:val="both"/>
        <w:rPr>
          <w:rFonts w:ascii="Arial" w:hAnsi="Arial" w:cs="Arial"/>
          <w:sz w:val="16"/>
          <w:szCs w:val="16"/>
        </w:rPr>
      </w:pPr>
      <w:r w:rsidRPr="00AA1BD1">
        <w:rPr>
          <w:rFonts w:ascii="Arial" w:hAnsi="Arial" w:cs="Arial"/>
          <w:sz w:val="16"/>
          <w:szCs w:val="16"/>
        </w:rPr>
        <w:t>c) il conferimento dei dati costituisce un obbligo legale necessario per la partecipazione alla gara e l’eventuale rifiuto a rispondere comporta l’esclusione dal procedimento in oggetto;</w:t>
      </w:r>
    </w:p>
    <w:p w:rsidR="00AA1BD1" w:rsidRPr="00AA1BD1" w:rsidRDefault="00AA1BD1" w:rsidP="00AA1BD1">
      <w:pPr>
        <w:spacing w:line="221" w:lineRule="atLeast"/>
        <w:ind w:left="284" w:hanging="284"/>
        <w:jc w:val="both"/>
        <w:rPr>
          <w:rFonts w:ascii="Arial" w:hAnsi="Arial" w:cs="Arial"/>
          <w:sz w:val="16"/>
          <w:szCs w:val="16"/>
        </w:rPr>
      </w:pPr>
      <w:r w:rsidRPr="00AA1BD1">
        <w:rPr>
          <w:rFonts w:ascii="Arial" w:hAnsi="Arial" w:cs="Arial"/>
          <w:sz w:val="16"/>
          <w:szCs w:val="16"/>
        </w:rPr>
        <w:t>d) le finalità e le modalità di trattamento (prevalentemente informatiche e telematiche) cui sono destinati i dati raccolti ineriscono al procedimento in oggetto;</w:t>
      </w:r>
    </w:p>
    <w:p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e) l'interessato al trattamento ha i diritti di cui all’art. 13, comma 2, lett. b), tra cui quello di chiedere al titolare del trattamento (sopra citato) l'accesso ai dati personali e la relativa rettifica;</w:t>
      </w:r>
    </w:p>
    <w:p w:rsidR="00AA1BD1" w:rsidRPr="00AA1BD1" w:rsidRDefault="00AA1BD1" w:rsidP="00AA1BD1">
      <w:pPr>
        <w:ind w:left="284" w:hanging="284"/>
        <w:jc w:val="both"/>
        <w:rPr>
          <w:rFonts w:ascii="Arial" w:hAnsi="Arial" w:cs="Arial"/>
          <w:strike/>
          <w:sz w:val="16"/>
          <w:szCs w:val="16"/>
        </w:rPr>
      </w:pPr>
      <w:r w:rsidRPr="00AA1BD1">
        <w:rPr>
          <w:rFonts w:ascii="Arial" w:hAnsi="Arial" w:cs="Arial"/>
          <w:sz w:val="16"/>
          <w:szCs w:val="16"/>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AA1BD1" w:rsidRPr="00AA1BD1" w:rsidRDefault="00AA1BD1" w:rsidP="00AA1BD1">
      <w:pPr>
        <w:ind w:left="284" w:hanging="284"/>
        <w:jc w:val="both"/>
        <w:rPr>
          <w:rFonts w:ascii="Arial" w:hAnsi="Arial" w:cs="Arial"/>
          <w:sz w:val="16"/>
          <w:szCs w:val="16"/>
        </w:rPr>
      </w:pPr>
      <w:r w:rsidRPr="00AA1BD1">
        <w:rPr>
          <w:rFonts w:ascii="Arial" w:hAnsi="Arial" w:cs="Arial"/>
          <w:sz w:val="16"/>
          <w:szCs w:val="16"/>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AA1BD1" w:rsidRPr="00AA1BD1" w:rsidRDefault="00AA1BD1" w:rsidP="00AA1BD1">
      <w:pPr>
        <w:pStyle w:val="NormaleWeb"/>
        <w:shd w:val="clear" w:color="auto" w:fill="FFFFFF"/>
        <w:spacing w:before="0" w:after="0"/>
        <w:jc w:val="both"/>
        <w:rPr>
          <w:rFonts w:ascii="Arial" w:hAnsi="Arial" w:cs="Arial"/>
          <w:color w:val="auto"/>
          <w:sz w:val="16"/>
          <w:szCs w:val="16"/>
        </w:rPr>
      </w:pPr>
      <w:r w:rsidRPr="00AA1BD1">
        <w:rPr>
          <w:rFonts w:ascii="Arial" w:hAnsi="Arial" w:cs="Arial"/>
          <w:color w:val="auto"/>
          <w:sz w:val="16"/>
          <w:szCs w:val="16"/>
        </w:rPr>
        <w:t>h) contro il trattamento dei dati è possibile proporre reclamo al Garante della privacy, avente sede in Piazza Piazza Venezia n. 11 - 00187 Roma – Italia, in conformità con le procedure stabilite dall’art. 57, paragrafo 1, lettera f) del Regolamento (UE) 2016/679.</w:t>
      </w:r>
    </w:p>
    <w:p w:rsidR="00D45DCF" w:rsidRPr="009730EC" w:rsidRDefault="00D45DCF">
      <w:pPr>
        <w:rPr>
          <w:rFonts w:eastAsia="HiraKakuProN-W3"/>
          <w:kern w:val="2"/>
        </w:rPr>
      </w:pPr>
    </w:p>
    <w:p w:rsidR="00D45DCF" w:rsidRPr="00691430" w:rsidRDefault="00691430" w:rsidP="00691430">
      <w:pPr>
        <w:jc w:val="center"/>
        <w:rPr>
          <w:rStyle w:val="Enfasigrassetto"/>
          <w:color w:val="000000"/>
          <w:shd w:val="clear" w:color="auto" w:fill="FFFFFF"/>
        </w:rPr>
      </w:pPr>
      <w:r w:rsidRPr="00691430">
        <w:rPr>
          <w:rStyle w:val="Enfasigrassetto"/>
          <w:color w:val="000000"/>
          <w:shd w:val="clear" w:color="auto" w:fill="FFFFFF"/>
        </w:rPr>
        <w:lastRenderedPageBreak/>
        <w:t>INFORMAZIONI SUL DGUE IN FORMATO ELETTRONICO</w:t>
      </w:r>
    </w:p>
    <w:p w:rsidR="00D45DCF" w:rsidRPr="009730EC" w:rsidRDefault="00D45DCF" w:rsidP="00D45DCF">
      <w:pPr>
        <w:rPr>
          <w:b/>
        </w:rPr>
      </w:pPr>
      <w:r w:rsidRPr="009730EC">
        <w:rPr>
          <w:b/>
        </w:rPr>
        <w:t xml:space="preserve">1. Cosa sono il DGUE e il DGUEe? </w:t>
      </w:r>
    </w:p>
    <w:p w:rsidR="00D45DCF" w:rsidRPr="009730EC" w:rsidRDefault="00D45DCF" w:rsidP="00D45DCF">
      <w:pPr>
        <w:jc w:val="both"/>
      </w:pPr>
      <w:r w:rsidRPr="009730EC">
        <w:t>Il DGUE è uno strumento che agevola la partecipazione agli appalti pubblici. Si tratta di un'autodichiarazione relativa all'idoneità, la situazione finanziaria e le competenze delle imprese che funge da prova documentale preliminare in tutte le procedure di appalto pubblico al di sopra della soglia UE. L'autodichiarazione consente alle imprese partecipanti o ad altri operatori economici di attestare che essi:</w:t>
      </w:r>
    </w:p>
    <w:p w:rsidR="00D45DCF" w:rsidRPr="009730EC" w:rsidRDefault="00D45DCF" w:rsidP="00D45DCF">
      <w:pPr>
        <w:jc w:val="both"/>
      </w:pPr>
      <w:r w:rsidRPr="009730EC">
        <w:t xml:space="preserve"> </w:t>
      </w:r>
      <w:r w:rsidRPr="009730EC">
        <w:sym w:font="Symbol" w:char="00B7"/>
      </w:r>
      <w:r w:rsidRPr="009730EC">
        <w:t xml:space="preserve"> non si trovano in una delle situazioni che comportano o potrebbero comportare l'esclusione dalla procedura; </w:t>
      </w:r>
    </w:p>
    <w:p w:rsidR="00D45DCF" w:rsidRPr="009730EC" w:rsidRDefault="00D45DCF" w:rsidP="00D45DCF">
      <w:pPr>
        <w:jc w:val="both"/>
      </w:pPr>
      <w:r w:rsidRPr="009730EC">
        <w:sym w:font="Symbol" w:char="00B7"/>
      </w:r>
      <w:r w:rsidRPr="009730EC">
        <w:t xml:space="preserve"> rispettano i pertinenti criteri di esclusione e di selezione.</w:t>
      </w:r>
    </w:p>
    <w:p w:rsidR="00D45DCF" w:rsidRPr="009730EC" w:rsidRDefault="00D45DCF" w:rsidP="00D45DCF">
      <w:pPr>
        <w:jc w:val="both"/>
        <w:rPr>
          <w:i/>
        </w:rPr>
      </w:pPr>
      <w:r w:rsidRPr="009730EC">
        <w:rPr>
          <w:i/>
        </w:rPr>
        <w:t>Per approfondire, vedi Dgue -Faq:</w:t>
      </w:r>
    </w:p>
    <w:p w:rsidR="00D45DCF"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https://www.lavoripubblici.it/documenti2018/lvpb4/FAQ_DGUE.pdf</w:t>
      </w:r>
    </w:p>
    <w:p w:rsidR="00FF1F3C" w:rsidRPr="009730EC" w:rsidRDefault="00FF1F3C" w:rsidP="00D45DCF">
      <w:pPr>
        <w:jc w:val="both"/>
        <w:rPr>
          <w:rStyle w:val="Enfasigrassetto"/>
          <w:b w:val="0"/>
          <w:color w:val="000000"/>
          <w:shd w:val="clear" w:color="auto" w:fill="FFFFFF"/>
        </w:rPr>
      </w:pPr>
      <w:r>
        <w:rPr>
          <w:rStyle w:val="Enfasigrassetto"/>
          <w:b w:val="0"/>
          <w:color w:val="000000"/>
          <w:shd w:val="clear" w:color="auto" w:fill="FFFFFF"/>
        </w:rPr>
        <w:t>Il DGUEe - Attualmente il DGUE va compilato in formato elettronico.</w:t>
      </w:r>
    </w:p>
    <w:p w:rsidR="00D45DCF" w:rsidRPr="009730EC" w:rsidRDefault="00D45DCF" w:rsidP="00D45DCF">
      <w:pPr>
        <w:jc w:val="both"/>
        <w:rPr>
          <w:b/>
        </w:rPr>
      </w:pPr>
      <w:r w:rsidRPr="009730EC">
        <w:rPr>
          <w:b/>
        </w:rPr>
        <w:t>2. Qual è la fonte normativa?</w:t>
      </w:r>
    </w:p>
    <w:p w:rsidR="001E6B3C" w:rsidRPr="009730EC" w:rsidRDefault="001E6B3C" w:rsidP="00D45DCF">
      <w:pPr>
        <w:jc w:val="both"/>
        <w:rPr>
          <w:b/>
        </w:rPr>
      </w:pPr>
      <w:r w:rsidRPr="009730EC">
        <w:rPr>
          <w:b/>
        </w:rPr>
        <w:t>L'art. 85 del D.lgs 50/2016, nel recepire l'art. 59 della direttiva 2014/24/UE ha disciplinato il DGUE</w:t>
      </w:r>
      <w:r w:rsidR="00FF1F3C">
        <w:rPr>
          <w:b/>
        </w:rPr>
        <w:t>.</w:t>
      </w:r>
    </w:p>
    <w:p w:rsidR="001E6B3C" w:rsidRPr="009730EC" w:rsidRDefault="001E6B3C" w:rsidP="00D45DCF">
      <w:pPr>
        <w:jc w:val="both"/>
        <w:rPr>
          <w:rStyle w:val="Enfasigrassetto"/>
          <w:b w:val="0"/>
          <w:color w:val="000000"/>
          <w:shd w:val="clear" w:color="auto" w:fill="FFFFFF"/>
        </w:rPr>
      </w:pPr>
      <w:r w:rsidRPr="009730EC">
        <w:rPr>
          <w:rStyle w:val="Enfasigrassetto"/>
          <w:b w:val="0"/>
          <w:color w:val="000000"/>
          <w:shd w:val="clear" w:color="auto" w:fill="FFFFFF"/>
        </w:rPr>
        <w:t>https://eur-lex.europa.eu/legal-content/IT/TXT/?uri=CELEX%3A52017DC0242</w:t>
      </w:r>
    </w:p>
    <w:p w:rsidR="00D45DCF" w:rsidRPr="00FF1F3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 xml:space="preserve">Per approfondire, vedi Le Linee Guida del MIT prot. n. 3 del 18/7/2016 </w:t>
      </w:r>
      <w:r w:rsidRPr="00FF1F3C">
        <w:rPr>
          <w:rStyle w:val="Enfasigrassetto"/>
          <w:b w:val="0"/>
          <w:color w:val="000000"/>
          <w:shd w:val="clear" w:color="auto" w:fill="FFFFFF"/>
        </w:rPr>
        <w:t>che reca anch</w:t>
      </w:r>
      <w:r w:rsidR="00FF1F3C">
        <w:rPr>
          <w:rStyle w:val="Enfasigrassetto"/>
          <w:b w:val="0"/>
          <w:color w:val="000000"/>
          <w:shd w:val="clear" w:color="auto" w:fill="FFFFFF"/>
        </w:rPr>
        <w:t>e il file in formato editabile, al eseguenti link:</w:t>
      </w:r>
    </w:p>
    <w:p w:rsidR="00D45DCF" w:rsidRPr="009730EC" w:rsidRDefault="00D45DCF" w:rsidP="00D45DCF">
      <w:pPr>
        <w:jc w:val="both"/>
        <w:rPr>
          <w:rStyle w:val="Enfasigrassetto"/>
          <w:b w:val="0"/>
          <w:color w:val="000000"/>
          <w:shd w:val="clear" w:color="auto" w:fill="FFFFFF"/>
        </w:rPr>
      </w:pPr>
      <w:r w:rsidRPr="009730EC">
        <w:rPr>
          <w:rStyle w:val="Enfasigrassetto"/>
          <w:b w:val="0"/>
          <w:color w:val="000000"/>
          <w:shd w:val="clear" w:color="auto" w:fill="FFFFFF"/>
        </w:rPr>
        <w:t>http://www.mit.gov.it/comunicazione/news/documento-di-gara-unico-europeo-dgue</w:t>
      </w:r>
    </w:p>
    <w:p w:rsidR="00D45DCF" w:rsidRPr="009730EC" w:rsidRDefault="00D45DCF" w:rsidP="00D45DCF">
      <w:pPr>
        <w:jc w:val="both"/>
        <w:rPr>
          <w:rStyle w:val="Enfasigrassetto"/>
          <w:color w:val="000000"/>
          <w:shd w:val="clear" w:color="auto" w:fill="FFFFFF"/>
        </w:rPr>
      </w:pPr>
      <w:r w:rsidRPr="009730EC">
        <w:rPr>
          <w:rStyle w:val="Enfasigrassetto"/>
          <w:color w:val="000000"/>
          <w:shd w:val="clear" w:color="auto" w:fill="FFFFFF"/>
        </w:rPr>
        <w:t>3. Da quando è obbligatorio in formato elettronico?</w:t>
      </w:r>
    </w:p>
    <w:p w:rsidR="00D45DCF" w:rsidRPr="009730EC" w:rsidRDefault="001E6B3C" w:rsidP="00D45DCF">
      <w:pPr>
        <w:jc w:val="both"/>
      </w:pPr>
      <w:r w:rsidRPr="009730EC">
        <w:rPr>
          <w:rStyle w:val="Enfasigrassetto"/>
          <w:b w:val="0"/>
          <w:color w:val="000000"/>
          <w:shd w:val="clear" w:color="auto" w:fill="FFFFFF"/>
        </w:rPr>
        <w:t xml:space="preserve">Nel </w:t>
      </w:r>
      <w:r w:rsidR="00D45DCF" w:rsidRPr="009730EC">
        <w:rPr>
          <w:rStyle w:val="Enfasigrassetto"/>
          <w:b w:val="0"/>
          <w:color w:val="000000"/>
          <w:shd w:val="clear" w:color="auto" w:fill="FFFFFF"/>
        </w:rPr>
        <w:t>Comunicato MIT del 30 marzo 2018</w:t>
      </w:r>
      <w:r w:rsidRPr="009730EC">
        <w:rPr>
          <w:color w:val="000000"/>
          <w:shd w:val="clear" w:color="auto" w:fill="FFFFFF"/>
        </w:rPr>
        <w:t> </w:t>
      </w:r>
      <w:r w:rsidR="00D45DCF" w:rsidRPr="009730EC">
        <w:rPr>
          <w:color w:val="000000"/>
          <w:shd w:val="clear" w:color="auto" w:fill="FFFFFF"/>
        </w:rPr>
        <w:t>era precisato che “</w:t>
      </w:r>
      <w:r w:rsidR="00D45DCF" w:rsidRPr="009730EC">
        <w:rPr>
          <w:rStyle w:val="Enfasicorsivo"/>
          <w:color w:val="000000"/>
          <w:shd w:val="clear" w:color="auto" w:fill="FFFFFF"/>
        </w:rPr>
        <w:t xml:space="preserve">Fino al 18 ottobre 2018 - data di entrata in vigore dell’obbligo delle comunicazioni elettroniche ex art. 40, comma 2, del Codice dei contratti pubblici - le stazioni appaltanti che non dispongano di un proprio servizio di gestione del DGUE in formato elettronico, o che non si servano di altri sistemi di gestione informatica del DGUE, richiederanno nei documenti di gara all’operatore economico di trasmettere il documento in formato elettronico, compilato secondo le modalità ivi indicate, </w:t>
      </w:r>
      <w:r w:rsidR="00D45DCF" w:rsidRPr="009730EC">
        <w:rPr>
          <w:rStyle w:val="Enfasicorsivo"/>
          <w:b/>
          <w:color w:val="000000"/>
          <w:u w:val="single"/>
          <w:shd w:val="clear" w:color="auto" w:fill="FFFFFF"/>
        </w:rPr>
        <w:t>su supporto informatico all’interno della busta amministrativa</w:t>
      </w:r>
      <w:r w:rsidR="00D45DCF" w:rsidRPr="009730EC">
        <w:rPr>
          <w:rStyle w:val="Enfasicorsivo"/>
          <w:color w:val="000000"/>
          <w:shd w:val="clear" w:color="auto" w:fill="FFFFFF"/>
        </w:rPr>
        <w:t xml:space="preserve"> o mediante la piattaforma telematica di negoziazione eventualmente utilizzata per la presentazione delle offerte</w:t>
      </w:r>
      <w:r w:rsidR="00D45DCF" w:rsidRPr="009730EC">
        <w:rPr>
          <w:color w:val="000000"/>
          <w:shd w:val="clear" w:color="auto" w:fill="FFFFFF"/>
        </w:rPr>
        <w:t>”. Ecco come la data di introduzione del DGUE elettronico viene traslata al 18 ottobre 2018  e co</w:t>
      </w:r>
      <w:r w:rsidRPr="009730EC">
        <w:rPr>
          <w:color w:val="000000"/>
          <w:shd w:val="clear" w:color="auto" w:fill="FFFFFF"/>
        </w:rPr>
        <w:t>i</w:t>
      </w:r>
      <w:r w:rsidR="00D45DCF" w:rsidRPr="009730EC">
        <w:rPr>
          <w:color w:val="000000"/>
          <w:shd w:val="clear" w:color="auto" w:fill="FFFFFF"/>
        </w:rPr>
        <w:t>ncide con quella di cui al comma 2 dell’articolo 40 del Codice dei contratti.</w:t>
      </w:r>
    </w:p>
    <w:p w:rsidR="00D45DCF" w:rsidRPr="009730EC" w:rsidRDefault="00D45DCF" w:rsidP="00D45DCF">
      <w:pPr>
        <w:jc w:val="both"/>
      </w:pPr>
      <w:r w:rsidRPr="009730EC">
        <w:t xml:space="preserve">Per approfondire, vedi: </w:t>
      </w:r>
    </w:p>
    <w:p w:rsidR="00D45DCF" w:rsidRPr="009730EC" w:rsidRDefault="00D45DCF" w:rsidP="00D45DCF">
      <w:pPr>
        <w:jc w:val="both"/>
      </w:pPr>
      <w:r w:rsidRPr="009730EC">
        <w:t>http://www.mit.gov.it/comunicazione/news/nuovo-codice-appalti-appalti/codice-appalti-dal-18-aprile-obbligatorio-il</w:t>
      </w:r>
    </w:p>
    <w:p w:rsidR="001E6B3C" w:rsidRPr="009730EC" w:rsidRDefault="001E6B3C" w:rsidP="00D45DCF">
      <w:pPr>
        <w:jc w:val="both"/>
        <w:rPr>
          <w:rFonts w:eastAsia="HiraKakuProN-W3"/>
          <w:kern w:val="2"/>
        </w:rPr>
      </w:pPr>
      <w:r w:rsidRPr="009730EC">
        <w:rPr>
          <w:rFonts w:eastAsia="HiraKakuProN-W3"/>
          <w:kern w:val="2"/>
        </w:rPr>
        <w:t>http://www.anci.it/index.cfm?layout=dettaglio&amp;IdDett=64890 Nota operativa ANCI</w:t>
      </w:r>
      <w:r w:rsidR="009730EC" w:rsidRPr="009730EC">
        <w:rPr>
          <w:color w:val="000000"/>
          <w:shd w:val="clear" w:color="auto" w:fill="FFFFFF"/>
        </w:rPr>
        <w:t xml:space="preserve"> per l’utilizzo obbligatorio, dal 18 </w:t>
      </w:r>
      <w:r w:rsidR="00F27D0D">
        <w:rPr>
          <w:color w:val="000000"/>
          <w:shd w:val="clear" w:color="auto" w:fill="FFFFFF"/>
        </w:rPr>
        <w:t xml:space="preserve">ottobre </w:t>
      </w:r>
      <w:r w:rsidR="009730EC" w:rsidRPr="009730EC">
        <w:rPr>
          <w:color w:val="000000"/>
          <w:shd w:val="clear" w:color="auto" w:fill="FFFFFF"/>
        </w:rPr>
        <w:t xml:space="preserve"> 2018, dei mezzi di comunicazione elettronici</w:t>
      </w:r>
      <w:r w:rsidR="00D573F5">
        <w:rPr>
          <w:color w:val="000000"/>
          <w:shd w:val="clear" w:color="auto" w:fill="FFFFFF"/>
        </w:rPr>
        <w:t xml:space="preserve"> nell'ambito delle procedure di gara. </w:t>
      </w:r>
    </w:p>
    <w:sectPr w:rsidR="001E6B3C" w:rsidRPr="009730EC" w:rsidSect="00EB78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ewAste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3D78F6"/>
    <w:rsid w:val="000555FB"/>
    <w:rsid w:val="00072408"/>
    <w:rsid w:val="000B4E7F"/>
    <w:rsid w:val="001E6B3C"/>
    <w:rsid w:val="002F122F"/>
    <w:rsid w:val="003D78F6"/>
    <w:rsid w:val="00402418"/>
    <w:rsid w:val="004551FB"/>
    <w:rsid w:val="00472F3C"/>
    <w:rsid w:val="004C1433"/>
    <w:rsid w:val="00576863"/>
    <w:rsid w:val="005840E4"/>
    <w:rsid w:val="005E62CE"/>
    <w:rsid w:val="00611CAD"/>
    <w:rsid w:val="00656F6B"/>
    <w:rsid w:val="00657A0F"/>
    <w:rsid w:val="00691430"/>
    <w:rsid w:val="00693A10"/>
    <w:rsid w:val="00967161"/>
    <w:rsid w:val="009730EC"/>
    <w:rsid w:val="00A201C7"/>
    <w:rsid w:val="00A277C2"/>
    <w:rsid w:val="00AA1BD1"/>
    <w:rsid w:val="00AB7FDA"/>
    <w:rsid w:val="00B33BCB"/>
    <w:rsid w:val="00B63197"/>
    <w:rsid w:val="00B95DF1"/>
    <w:rsid w:val="00BB5511"/>
    <w:rsid w:val="00C06C32"/>
    <w:rsid w:val="00C56D2C"/>
    <w:rsid w:val="00D40F72"/>
    <w:rsid w:val="00D45DCF"/>
    <w:rsid w:val="00D573F5"/>
    <w:rsid w:val="00D96E8C"/>
    <w:rsid w:val="00E964DA"/>
    <w:rsid w:val="00EB7845"/>
    <w:rsid w:val="00EC4C3F"/>
    <w:rsid w:val="00F27D0D"/>
    <w:rsid w:val="00F403D1"/>
    <w:rsid w:val="00FF1F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8F6"/>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D78F6"/>
    <w:pPr>
      <w:autoSpaceDE w:val="0"/>
      <w:autoSpaceDN w:val="0"/>
      <w:adjustRightInd w:val="0"/>
      <w:spacing w:after="0" w:line="240" w:lineRule="auto"/>
    </w:pPr>
    <w:rPr>
      <w:rFonts w:ascii="NewAster" w:eastAsia="Times New Roman" w:hAnsi="NewAster" w:cs="NewAster"/>
      <w:color w:val="000000"/>
      <w:sz w:val="24"/>
      <w:szCs w:val="24"/>
    </w:rPr>
  </w:style>
  <w:style w:type="paragraph" w:customStyle="1" w:styleId="Pa112">
    <w:name w:val="Pa11+2"/>
    <w:basedOn w:val="Default"/>
    <w:next w:val="Default"/>
    <w:uiPriority w:val="99"/>
    <w:rsid w:val="003D78F6"/>
    <w:pPr>
      <w:spacing w:line="221" w:lineRule="atLeast"/>
    </w:pPr>
    <w:rPr>
      <w:rFonts w:cstheme="minorHAnsi"/>
      <w:color w:val="auto"/>
    </w:rPr>
  </w:style>
  <w:style w:type="paragraph" w:customStyle="1" w:styleId="Pa51">
    <w:name w:val="Pa51"/>
    <w:basedOn w:val="Default"/>
    <w:next w:val="Default"/>
    <w:uiPriority w:val="99"/>
    <w:rsid w:val="003D78F6"/>
    <w:pPr>
      <w:spacing w:line="221" w:lineRule="atLeast"/>
    </w:pPr>
    <w:rPr>
      <w:rFonts w:cstheme="minorHAnsi"/>
      <w:color w:val="auto"/>
    </w:rPr>
  </w:style>
  <w:style w:type="paragraph" w:customStyle="1" w:styleId="Pa282">
    <w:name w:val="Pa28+2"/>
    <w:basedOn w:val="Default"/>
    <w:next w:val="Default"/>
    <w:uiPriority w:val="99"/>
    <w:rsid w:val="003D78F6"/>
    <w:pPr>
      <w:spacing w:line="201" w:lineRule="atLeast"/>
    </w:pPr>
    <w:rPr>
      <w:rFonts w:cstheme="minorHAnsi"/>
      <w:color w:val="auto"/>
    </w:rPr>
  </w:style>
  <w:style w:type="character" w:customStyle="1" w:styleId="A21">
    <w:name w:val="A2+1"/>
    <w:uiPriority w:val="99"/>
    <w:rsid w:val="003D78F6"/>
    <w:rPr>
      <w:i/>
      <w:iCs w:val="0"/>
      <w:color w:val="221E1F"/>
      <w:sz w:val="20"/>
    </w:rPr>
  </w:style>
  <w:style w:type="character" w:styleId="Collegamentoipertestuale">
    <w:name w:val="Hyperlink"/>
    <w:basedOn w:val="Carpredefinitoparagrafo"/>
    <w:uiPriority w:val="99"/>
    <w:semiHidden/>
    <w:unhideWhenUsed/>
    <w:rsid w:val="00D45DCF"/>
    <w:rPr>
      <w:color w:val="0000FF"/>
      <w:u w:val="single"/>
    </w:rPr>
  </w:style>
  <w:style w:type="character" w:styleId="Enfasigrassetto">
    <w:name w:val="Strong"/>
    <w:basedOn w:val="Carpredefinitoparagrafo"/>
    <w:uiPriority w:val="22"/>
    <w:qFormat/>
    <w:rsid w:val="00D45DCF"/>
    <w:rPr>
      <w:b/>
      <w:bCs/>
    </w:rPr>
  </w:style>
  <w:style w:type="character" w:styleId="Enfasicorsivo">
    <w:name w:val="Emphasis"/>
    <w:basedOn w:val="Carpredefinitoparagrafo"/>
    <w:uiPriority w:val="20"/>
    <w:qFormat/>
    <w:rsid w:val="00D45DCF"/>
    <w:rPr>
      <w:i/>
      <w:iCs/>
    </w:rPr>
  </w:style>
  <w:style w:type="paragraph" w:styleId="NormaleWeb">
    <w:name w:val="Normal (Web)"/>
    <w:basedOn w:val="Normale"/>
    <w:uiPriority w:val="99"/>
    <w:semiHidden/>
    <w:unhideWhenUsed/>
    <w:rsid w:val="00AA1BD1"/>
    <w:pPr>
      <w:autoSpaceDE w:val="0"/>
      <w:autoSpaceDN w:val="0"/>
      <w:adjustRightInd w:val="0"/>
      <w:spacing w:before="100" w:after="100" w:line="344" w:lineRule="atLeast"/>
    </w:pPr>
    <w:rPr>
      <w:rFonts w:ascii="Times New Roman" w:eastAsia="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258563264">
      <w:bodyDiv w:val="1"/>
      <w:marLeft w:val="0"/>
      <w:marRight w:val="0"/>
      <w:marTop w:val="0"/>
      <w:marBottom w:val="0"/>
      <w:divBdr>
        <w:top w:val="none" w:sz="0" w:space="0" w:color="auto"/>
        <w:left w:val="none" w:sz="0" w:space="0" w:color="auto"/>
        <w:bottom w:val="none" w:sz="0" w:space="0" w:color="auto"/>
        <w:right w:val="none" w:sz="0" w:space="0" w:color="auto"/>
      </w:divBdr>
    </w:div>
    <w:div w:id="266470471">
      <w:bodyDiv w:val="1"/>
      <w:marLeft w:val="0"/>
      <w:marRight w:val="0"/>
      <w:marTop w:val="0"/>
      <w:marBottom w:val="0"/>
      <w:divBdr>
        <w:top w:val="none" w:sz="0" w:space="0" w:color="auto"/>
        <w:left w:val="none" w:sz="0" w:space="0" w:color="auto"/>
        <w:bottom w:val="none" w:sz="0" w:space="0" w:color="auto"/>
        <w:right w:val="none" w:sz="0" w:space="0" w:color="auto"/>
      </w:divBdr>
    </w:div>
    <w:div w:id="751391598">
      <w:bodyDiv w:val="1"/>
      <w:marLeft w:val="0"/>
      <w:marRight w:val="0"/>
      <w:marTop w:val="0"/>
      <w:marBottom w:val="0"/>
      <w:divBdr>
        <w:top w:val="none" w:sz="0" w:space="0" w:color="auto"/>
        <w:left w:val="none" w:sz="0" w:space="0" w:color="auto"/>
        <w:bottom w:val="none" w:sz="0" w:space="0" w:color="auto"/>
        <w:right w:val="none" w:sz="0" w:space="0" w:color="auto"/>
      </w:divBdr>
    </w:div>
    <w:div w:id="186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4361</Words>
  <Characters>24864</Characters>
  <Application>Microsoft Office Word</Application>
  <DocSecurity>0</DocSecurity>
  <Lines>207</Lines>
  <Paragraphs>58</Paragraphs>
  <ScaleCrop>false</ScaleCrop>
  <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2019-12-03T11:16:00Z</dcterms:created>
  <dcterms:modified xsi:type="dcterms:W3CDTF">2019-12-03T11:16:00Z</dcterms:modified>
</cp:coreProperties>
</file>